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5644" w14:textId="4D8876A7" w:rsidR="006506F1" w:rsidRPr="001F694C" w:rsidRDefault="006506F1">
      <w:pPr>
        <w:pStyle w:val="berschrift1"/>
        <w:ind w:right="-283"/>
      </w:pPr>
      <w:r>
        <w:t>Niveau constant à plate-forme CEH 65/45 chauffé (air pulsé)</w:t>
      </w:r>
    </w:p>
    <w:p w14:paraId="4DC3941E" w14:textId="77777777" w:rsidR="005705EF" w:rsidRPr="001F694C" w:rsidRDefault="005705EF">
      <w:pPr>
        <w:keepNext/>
        <w:keepLines/>
        <w:tabs>
          <w:tab w:val="left" w:pos="-720"/>
        </w:tabs>
        <w:suppressAutoHyphens/>
        <w:ind w:right="-283"/>
      </w:pPr>
    </w:p>
    <w:p w14:paraId="63161A0A" w14:textId="77777777" w:rsidR="005705EF" w:rsidRDefault="005705EF">
      <w:pPr>
        <w:keepNext/>
        <w:keepLines/>
        <w:tabs>
          <w:tab w:val="left" w:pos="-720"/>
        </w:tabs>
        <w:suppressAutoHyphens/>
        <w:ind w:right="-283"/>
      </w:pPr>
    </w:p>
    <w:p w14:paraId="61F1D4FC" w14:textId="77777777" w:rsidR="005705EF" w:rsidRPr="00CB416D" w:rsidRDefault="005705EF">
      <w:pPr>
        <w:tabs>
          <w:tab w:val="left" w:pos="1701"/>
        </w:tabs>
        <w:ind w:left="283" w:right="-283" w:hanging="283"/>
      </w:pPr>
      <w:r>
        <w:rPr>
          <w:b/>
        </w:rPr>
        <w:t>Dimensions</w:t>
      </w:r>
    </w:p>
    <w:p w14:paraId="1584C235" w14:textId="77777777" w:rsidR="005705EF" w:rsidRPr="00CB416D" w:rsidRDefault="005705EF">
      <w:pPr>
        <w:tabs>
          <w:tab w:val="left" w:pos="1701"/>
        </w:tabs>
        <w:ind w:left="283" w:right="-283" w:hanging="283"/>
      </w:pPr>
    </w:p>
    <w:p w14:paraId="211B2BFF" w14:textId="054BAFD9" w:rsidR="005705EF" w:rsidRPr="00CB416D" w:rsidRDefault="005705EF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</w:r>
      <w:r>
        <w:tab/>
      </w:r>
      <w:r>
        <w:tab/>
        <w:t>1184 mm</w:t>
      </w:r>
    </w:p>
    <w:p w14:paraId="2A7386B7" w14:textId="6E487865" w:rsidR="005705EF" w:rsidRPr="00CB416D" w:rsidRDefault="005705EF">
      <w:pPr>
        <w:tabs>
          <w:tab w:val="left" w:pos="1701"/>
        </w:tabs>
        <w:ind w:right="-283"/>
      </w:pPr>
      <w:r>
        <w:t>Largeur :</w:t>
      </w:r>
      <w:r>
        <w:tab/>
      </w:r>
      <w:r>
        <w:tab/>
      </w:r>
      <w:r>
        <w:tab/>
      </w:r>
      <w:r>
        <w:tab/>
      </w:r>
      <w:r>
        <w:tab/>
        <w:t xml:space="preserve">619 mm </w:t>
      </w:r>
    </w:p>
    <w:p w14:paraId="2D03F359" w14:textId="73DEE600" w:rsidR="005705EF" w:rsidRPr="00CB416D" w:rsidRDefault="00FC40F3">
      <w:pPr>
        <w:tabs>
          <w:tab w:val="left" w:pos="1701"/>
        </w:tabs>
        <w:ind w:left="283" w:right="-283" w:hanging="283"/>
      </w:pPr>
      <w:r>
        <w:t>Hauteur :</w:t>
      </w:r>
      <w:r>
        <w:tab/>
      </w:r>
      <w:r>
        <w:tab/>
      </w:r>
      <w:r>
        <w:tab/>
      </w:r>
      <w:r>
        <w:tab/>
      </w:r>
      <w:r>
        <w:tab/>
        <w:t xml:space="preserve">915 mm </w:t>
      </w:r>
    </w:p>
    <w:p w14:paraId="0B9B6125" w14:textId="43A5D1C0" w:rsidR="005705EF" w:rsidRPr="00CB416D" w:rsidRDefault="005705EF">
      <w:pPr>
        <w:tabs>
          <w:tab w:val="left" w:pos="1701"/>
        </w:tabs>
        <w:ind w:left="283" w:right="-283" w:hanging="283"/>
      </w:pPr>
      <w:r>
        <w:t>Hauteur (avec capot) :</w:t>
      </w:r>
      <w:r>
        <w:tab/>
      </w:r>
      <w:r>
        <w:tab/>
      </w:r>
      <w:r>
        <w:tab/>
        <w:t>1020 mm</w:t>
      </w:r>
    </w:p>
    <w:p w14:paraId="62EA8AAD" w14:textId="77777777" w:rsidR="005705EF" w:rsidRPr="00CB416D" w:rsidRDefault="005705EF">
      <w:pPr>
        <w:tabs>
          <w:tab w:val="left" w:pos="1701"/>
        </w:tabs>
        <w:ind w:left="283" w:right="-283" w:hanging="283"/>
      </w:pPr>
    </w:p>
    <w:p w14:paraId="5AD6FE90" w14:textId="77777777" w:rsidR="005705EF" w:rsidRPr="00CB416D" w:rsidRDefault="005705EF">
      <w:pPr>
        <w:tabs>
          <w:tab w:val="left" w:pos="1701"/>
        </w:tabs>
        <w:ind w:left="283" w:right="-283" w:hanging="283"/>
      </w:pPr>
    </w:p>
    <w:p w14:paraId="04F0D3DA" w14:textId="77777777" w:rsidR="005705EF" w:rsidRPr="00CB416D" w:rsidRDefault="005705EF">
      <w:pPr>
        <w:tabs>
          <w:tab w:val="left" w:pos="1701"/>
        </w:tabs>
        <w:ind w:right="-283"/>
        <w:rPr>
          <w:b/>
        </w:rPr>
      </w:pPr>
      <w:r>
        <w:rPr>
          <w:b/>
        </w:rPr>
        <w:t>Version</w:t>
      </w:r>
    </w:p>
    <w:p w14:paraId="25FBF723" w14:textId="77777777" w:rsidR="005705EF" w:rsidRPr="00CB416D" w:rsidRDefault="005705EF">
      <w:pPr>
        <w:tabs>
          <w:tab w:val="left" w:pos="1701"/>
        </w:tabs>
        <w:ind w:right="-283"/>
        <w:rPr>
          <w:b/>
        </w:rPr>
      </w:pPr>
    </w:p>
    <w:p w14:paraId="4E44C23F" w14:textId="77777777" w:rsidR="005705EF" w:rsidRPr="00CB416D" w:rsidRDefault="005705EF">
      <w:pPr>
        <w:tabs>
          <w:tab w:val="left" w:pos="1701"/>
        </w:tabs>
        <w:ind w:right="-283"/>
        <w:rPr>
          <w:b/>
        </w:rPr>
      </w:pPr>
      <w:r>
        <w:rPr>
          <w:b/>
        </w:rPr>
        <w:t>Construction</w:t>
      </w:r>
    </w:p>
    <w:p w14:paraId="3EDCBE22" w14:textId="77777777" w:rsidR="006506F1" w:rsidRPr="00CB416D" w:rsidRDefault="006506F1">
      <w:pPr>
        <w:tabs>
          <w:tab w:val="left" w:pos="1701"/>
        </w:tabs>
        <w:ind w:right="-283"/>
      </w:pPr>
    </w:p>
    <w:p w14:paraId="3576F0A0" w14:textId="5F34D903" w:rsidR="005705EF" w:rsidRPr="00CB416D" w:rsidRDefault="00404E3B">
      <w:pPr>
        <w:tabs>
          <w:tab w:val="left" w:pos="1701"/>
        </w:tabs>
        <w:ind w:right="-283"/>
      </w:pPr>
      <w:r>
        <w:t xml:space="preserve">Le boîtier du niveau constant </w:t>
      </w:r>
      <w:bookmarkStart w:id="0" w:name="_Hlk138750705"/>
      <w:r>
        <w:t xml:space="preserve">est fabriqué en acier inoxydable de haute qualité résistant à la corrosion. </w:t>
      </w:r>
      <w:bookmarkEnd w:id="0"/>
      <w:r>
        <w:t xml:space="preserve">La surface est </w:t>
      </w:r>
      <w:proofErr w:type="spellStart"/>
      <w:r>
        <w:t>microlisée</w:t>
      </w:r>
      <w:proofErr w:type="spellEnd"/>
      <w:r>
        <w:t xml:space="preserve">. </w:t>
      </w:r>
    </w:p>
    <w:p w14:paraId="2EF9EE89" w14:textId="3FE6613E" w:rsidR="005705EF" w:rsidRPr="001F694C" w:rsidRDefault="005705EF">
      <w:pPr>
        <w:tabs>
          <w:tab w:val="left" w:pos="1701"/>
        </w:tabs>
        <w:ind w:right="-283"/>
      </w:pPr>
      <w:r>
        <w:t>La plate-forme est conçue pour accueillir différents types de vaisselle. Différentes plates-formes sont disponibles selon les articles empilés. Le corps est construit avec une double paroi isolée en modèle fermé.</w:t>
      </w:r>
    </w:p>
    <w:p w14:paraId="3D7BAD6F" w14:textId="77777777" w:rsidR="005705EF" w:rsidRDefault="005705EF">
      <w:pPr>
        <w:tabs>
          <w:tab w:val="left" w:pos="1701"/>
        </w:tabs>
        <w:ind w:right="-283"/>
      </w:pPr>
      <w:r>
        <w:t>La tension des ressorts peut être ajustée aux articles empilés en accrochant et décrochant les ressorts de traction de manière à assurer une hauteur de distribution constante.</w:t>
      </w:r>
    </w:p>
    <w:p w14:paraId="4CB950D1" w14:textId="77777777" w:rsidR="00B02662" w:rsidRPr="00A2350A" w:rsidRDefault="005705EF" w:rsidP="00B02662">
      <w:pPr>
        <w:tabs>
          <w:tab w:val="left" w:pos="-720"/>
          <w:tab w:val="left" w:pos="6912"/>
        </w:tabs>
        <w:suppressAutoHyphens/>
      </w:pPr>
      <w:r>
        <w:t>La zone de commande est placée en position basse sur le petit côté, avec un interrupteur Marche/Arrêt, un voyant de contrôle, un câble spiralé, une douille isolante et le régulateur de température. Le régulateur de température assure un réglage en continu de la température du chauffage à air pulsé par ventilateur. Le niveau constant à plate-forme dispose par ailleurs d’une plage de réglage ECO. Cette plage de réglage assure le maintien des températures de vaisselle moyennes les plus efficaces en énergie.</w:t>
      </w:r>
    </w:p>
    <w:p w14:paraId="7C5E456D" w14:textId="0DFBF9C5" w:rsidR="005705EF" w:rsidRPr="00A2350A" w:rsidRDefault="005705EF">
      <w:pPr>
        <w:pStyle w:val="Textkrper3"/>
        <w:tabs>
          <w:tab w:val="clear" w:pos="2835"/>
          <w:tab w:val="clear" w:pos="3402"/>
          <w:tab w:val="left" w:pos="1701"/>
        </w:tabs>
      </w:pPr>
      <w:r>
        <w:t>Le capot à double paroi en acier inoxydable prévient l’encrassement et les pertes calorifiques.</w:t>
      </w:r>
    </w:p>
    <w:p w14:paraId="479A6F31" w14:textId="77777777" w:rsidR="005705EF" w:rsidRDefault="005705EF">
      <w:pPr>
        <w:tabs>
          <w:tab w:val="left" w:pos="-720"/>
          <w:tab w:val="left" w:pos="6912"/>
        </w:tabs>
        <w:suppressAutoHyphens/>
        <w:ind w:right="-283"/>
      </w:pPr>
      <w:r>
        <w:t>Une poignée de poussée de sécurité en acier inoxydable avec des éléments latéraux de protection contre les chocs en plastique (polyamide) est installée côté commande.</w:t>
      </w:r>
    </w:p>
    <w:p w14:paraId="0AA889BD" w14:textId="37455CFD" w:rsidR="005705EF" w:rsidRDefault="005705EF">
      <w:pPr>
        <w:tabs>
          <w:tab w:val="left" w:pos="1701"/>
        </w:tabs>
        <w:ind w:right="-283"/>
      </w:pPr>
      <w:r>
        <w:t>Le niveau constant roule sur des roues en matière plastique inoxydables (4 roues pivotantes, dont 2 avec frein, ø 125 mm). Des coins de protection contre les chocs en matière plastique (polyamide) aux quatre coins protègent de la détérioration.</w:t>
      </w:r>
    </w:p>
    <w:p w14:paraId="7EB8D074" w14:textId="77777777" w:rsidR="005705EF" w:rsidRDefault="005705EF">
      <w:pPr>
        <w:tabs>
          <w:tab w:val="left" w:pos="1701"/>
        </w:tabs>
        <w:ind w:right="-283"/>
      </w:pPr>
    </w:p>
    <w:p w14:paraId="1321E635" w14:textId="77777777" w:rsidR="006506F1" w:rsidRDefault="006506F1">
      <w:pPr>
        <w:tabs>
          <w:tab w:val="left" w:pos="1701"/>
        </w:tabs>
        <w:ind w:right="-283"/>
      </w:pPr>
    </w:p>
    <w:p w14:paraId="168940AB" w14:textId="77777777" w:rsidR="005705EF" w:rsidRDefault="005705EF">
      <w:pPr>
        <w:pStyle w:val="berschrift3"/>
        <w:tabs>
          <w:tab w:val="clear" w:pos="1701"/>
        </w:tabs>
        <w:ind w:right="-283"/>
      </w:pPr>
    </w:p>
    <w:p w14:paraId="2A82A98D" w14:textId="77777777" w:rsidR="005705EF" w:rsidRDefault="005705EF">
      <w:pPr>
        <w:pStyle w:val="berschrift3"/>
        <w:tabs>
          <w:tab w:val="clear" w:pos="1701"/>
        </w:tabs>
        <w:ind w:right="-283"/>
      </w:pPr>
      <w:r>
        <w:t>Accessoires/options</w:t>
      </w:r>
    </w:p>
    <w:p w14:paraId="71AF605C" w14:textId="77777777" w:rsidR="005705EF" w:rsidRDefault="005705EF"/>
    <w:p w14:paraId="477C7126" w14:textId="77777777" w:rsidR="0013126B" w:rsidRPr="001F694C" w:rsidRDefault="0013126B">
      <w:pPr>
        <w:numPr>
          <w:ilvl w:val="0"/>
          <w:numId w:val="20"/>
        </w:numPr>
        <w:ind w:right="-283"/>
      </w:pPr>
      <w:r>
        <w:t>Poignée de poussée sous forme de tube coudé entièrement en acier inoxydable</w:t>
      </w:r>
    </w:p>
    <w:p w14:paraId="0C0D9C8B" w14:textId="7EE3E2F4" w:rsidR="0013126B" w:rsidRPr="001F694C" w:rsidRDefault="0013126B">
      <w:pPr>
        <w:numPr>
          <w:ilvl w:val="0"/>
          <w:numId w:val="20"/>
        </w:numPr>
        <w:ind w:right="-283"/>
      </w:pPr>
      <w:r>
        <w:t>Moulure de protection contre les chocs périphérique en PE</w:t>
      </w:r>
    </w:p>
    <w:p w14:paraId="013B3CE4" w14:textId="5F6FB78D" w:rsidR="0013126B" w:rsidRDefault="0013126B">
      <w:pPr>
        <w:numPr>
          <w:ilvl w:val="0"/>
          <w:numId w:val="20"/>
        </w:numPr>
        <w:ind w:right="-283"/>
      </w:pPr>
      <w:r>
        <w:t>Moulure de protection contre les chocs périphérique renforcée (fraisée)</w:t>
      </w:r>
    </w:p>
    <w:p w14:paraId="4E5C40D2" w14:textId="5233039E" w:rsidR="005B167C" w:rsidRPr="00CB416D" w:rsidRDefault="005B167C">
      <w:pPr>
        <w:numPr>
          <w:ilvl w:val="0"/>
          <w:numId w:val="20"/>
        </w:numPr>
        <w:ind w:right="-283"/>
      </w:pPr>
      <w:r>
        <w:t>Intérieur de l’appareil : Température</w:t>
      </w:r>
      <w:r w:rsidR="00022FC4">
        <w:t xml:space="preserve"> </w:t>
      </w:r>
      <w:r>
        <w:t>1</w:t>
      </w:r>
      <w:r w:rsidR="00022FC4">
        <w:t>4</w:t>
      </w:r>
      <w:r>
        <w:t>5 °C, non réglable</w:t>
      </w:r>
    </w:p>
    <w:p w14:paraId="589BB9BD" w14:textId="2AAD1DC8" w:rsidR="0013126B" w:rsidRPr="001F694C" w:rsidRDefault="0013126B">
      <w:pPr>
        <w:numPr>
          <w:ilvl w:val="0"/>
          <w:numId w:val="20"/>
        </w:numPr>
        <w:ind w:right="-283"/>
      </w:pPr>
      <w:r>
        <w:t>Roues en acier galvanisé, 4 roues pivotantes, dont 2 avec frein, ø 125 mm</w:t>
      </w:r>
    </w:p>
    <w:p w14:paraId="6931695E" w14:textId="77777777" w:rsidR="0013126B" w:rsidRPr="001F694C" w:rsidRDefault="0013126B">
      <w:pPr>
        <w:numPr>
          <w:ilvl w:val="0"/>
          <w:numId w:val="20"/>
        </w:numPr>
        <w:ind w:right="-283"/>
      </w:pPr>
      <w:r>
        <w:t>Roues en acier inoxydable, 4 roues pivotantes, dont 2 avec frein, ø 125 mm</w:t>
      </w:r>
    </w:p>
    <w:p w14:paraId="27A41B0F" w14:textId="77777777" w:rsidR="005705EF" w:rsidRDefault="005705EF">
      <w:pPr>
        <w:ind w:right="-283"/>
      </w:pPr>
    </w:p>
    <w:p w14:paraId="5DAED51B" w14:textId="77777777" w:rsidR="005705EF" w:rsidRDefault="005705EF">
      <w:pPr>
        <w:ind w:right="-283"/>
      </w:pPr>
    </w:p>
    <w:p w14:paraId="173251AA" w14:textId="77777777" w:rsidR="005705EF" w:rsidRDefault="005705EF">
      <w:pPr>
        <w:ind w:right="-283"/>
      </w:pPr>
    </w:p>
    <w:p w14:paraId="0073ACF8" w14:textId="77777777" w:rsidR="005705EF" w:rsidRDefault="005705EF">
      <w:pPr>
        <w:tabs>
          <w:tab w:val="left" w:pos="1701"/>
        </w:tabs>
        <w:ind w:right="-283"/>
        <w:rPr>
          <w:b/>
        </w:rPr>
      </w:pPr>
      <w:r>
        <w:rPr>
          <w:b/>
        </w:rPr>
        <w:t>Caractéristiques techniques</w:t>
      </w:r>
    </w:p>
    <w:p w14:paraId="70BF6122" w14:textId="77777777" w:rsidR="005705EF" w:rsidRPr="00CB416D" w:rsidRDefault="005705EF">
      <w:pPr>
        <w:tabs>
          <w:tab w:val="left" w:pos="1701"/>
        </w:tabs>
        <w:ind w:right="-283"/>
      </w:pPr>
    </w:p>
    <w:p w14:paraId="78FE5AA6" w14:textId="77363484" w:rsidR="001F694C" w:rsidRPr="00CB416D" w:rsidRDefault="001F694C" w:rsidP="001F69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Matériau:</w:t>
      </w:r>
      <w:r>
        <w:tab/>
      </w:r>
      <w:r>
        <w:tab/>
      </w:r>
      <w:bookmarkStart w:id="1" w:name="_Hlk138750686"/>
      <w:r>
        <w:t>Acier inoxydable (AISI 304)</w:t>
      </w:r>
      <w:bookmarkEnd w:id="1"/>
    </w:p>
    <w:p w14:paraId="50E87D14" w14:textId="5CC1CFA7" w:rsidR="001F694C" w:rsidRPr="00CB416D" w:rsidRDefault="001F694C" w:rsidP="001F69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Poids :</w:t>
      </w:r>
      <w:r>
        <w:tab/>
      </w:r>
      <w:r>
        <w:tab/>
        <w:t xml:space="preserve">env. 110 kg </w:t>
      </w:r>
    </w:p>
    <w:p w14:paraId="02133BF7" w14:textId="77777777" w:rsidR="00874005" w:rsidRPr="00CB416D" w:rsidRDefault="00874005" w:rsidP="0087400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Capacité :</w:t>
      </w:r>
      <w:r>
        <w:tab/>
      </w:r>
      <w:r>
        <w:tab/>
        <w:t>Selon le type de vaisselle</w:t>
      </w:r>
    </w:p>
    <w:p w14:paraId="36F02216" w14:textId="38D00DDF" w:rsidR="00D43F1E" w:rsidRPr="00CB416D" w:rsidRDefault="00D43F1E" w:rsidP="0087400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Charge utile max. :</w:t>
      </w:r>
      <w:r>
        <w:tab/>
        <w:t>220 kg</w:t>
      </w:r>
    </w:p>
    <w:p w14:paraId="2CA9944C" w14:textId="413843AB" w:rsidR="00690435" w:rsidRPr="00CB416D" w:rsidRDefault="00690435" w:rsidP="0087400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Hauteur de </w:t>
      </w:r>
      <w:r w:rsidR="00F722E0">
        <w:br/>
      </w:r>
      <w:r>
        <w:t>distribution :</w:t>
      </w:r>
      <w:r>
        <w:tab/>
      </w:r>
      <w:r w:rsidR="00F722E0">
        <w:tab/>
      </w:r>
      <w:r>
        <w:t>900 mm</w:t>
      </w:r>
    </w:p>
    <w:p w14:paraId="00AAE5CE" w14:textId="6AB3D44D" w:rsidR="001F694C" w:rsidRPr="00CB416D" w:rsidRDefault="001F694C" w:rsidP="001F69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Dimensions </w:t>
      </w:r>
      <w:r w:rsidR="00F722E0">
        <w:br/>
      </w:r>
      <w:r>
        <w:t>intérieures :</w:t>
      </w:r>
      <w:r>
        <w:tab/>
      </w:r>
      <w:r w:rsidR="00F722E0">
        <w:tab/>
      </w:r>
      <w:r>
        <w:t>Env. 656 x 456 mm</w:t>
      </w:r>
    </w:p>
    <w:p w14:paraId="373EBA2C" w14:textId="0FE490F3" w:rsidR="001F694C" w:rsidRPr="00C26BFB" w:rsidRDefault="001F694C" w:rsidP="001F69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Capot :</w:t>
      </w:r>
      <w:r>
        <w:tab/>
      </w:r>
      <w:r>
        <w:tab/>
        <w:t xml:space="preserve">728 x 592 mm, acier inoxydable </w:t>
      </w:r>
    </w:p>
    <w:p w14:paraId="7C78F583" w14:textId="71FFB528" w:rsidR="001F694C" w:rsidRPr="00CB416D" w:rsidRDefault="001F694C" w:rsidP="001F69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Hauteur d’empilage</w:t>
      </w:r>
      <w:r w:rsidR="00F722E0">
        <w:br/>
      </w:r>
      <w:r>
        <w:t>avec capot :</w:t>
      </w:r>
    </w:p>
    <w:p w14:paraId="476F8B7D" w14:textId="58805DEE" w:rsidR="001F694C" w:rsidRPr="00CB416D" w:rsidRDefault="001F694C" w:rsidP="001F69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  <w:t>Env. 610 mm</w:t>
      </w:r>
    </w:p>
    <w:p w14:paraId="4C959944" w14:textId="39046EDB" w:rsidR="001F694C" w:rsidRPr="00CB416D" w:rsidRDefault="001F694C" w:rsidP="001F69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Hauteur d’empilage</w:t>
      </w:r>
      <w:r w:rsidR="00F722E0">
        <w:br/>
      </w:r>
      <w:r>
        <w:t>sans</w:t>
      </w:r>
      <w:r w:rsidR="00C769C6">
        <w:t xml:space="preserve"> c</w:t>
      </w:r>
      <w:r>
        <w:t>apot :</w:t>
      </w:r>
      <w:r>
        <w:tab/>
      </w:r>
      <w:r>
        <w:tab/>
        <w:t>Env. 570 mm</w:t>
      </w:r>
    </w:p>
    <w:p w14:paraId="22259282" w14:textId="77777777" w:rsidR="001F694C" w:rsidRPr="00CB416D" w:rsidRDefault="001F69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38017709" w14:textId="4D8AC338" w:rsidR="005705EF" w:rsidRPr="00CB416D" w:rsidRDefault="005705EF" w:rsidP="007010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Intérieur de l’appareil :</w:t>
      </w:r>
      <w:r>
        <w:tab/>
        <w:t>Température réglable +30 °C à</w:t>
      </w:r>
      <w:r w:rsidR="00022FC4">
        <w:t xml:space="preserve"> </w:t>
      </w:r>
      <w:r>
        <w:t>+1</w:t>
      </w:r>
      <w:r w:rsidR="00022FC4">
        <w:t>4</w:t>
      </w:r>
      <w:r>
        <w:t>5 °C</w:t>
      </w:r>
      <w:r w:rsidR="00022FC4">
        <w:t xml:space="preserve">, </w:t>
      </w:r>
      <w:r w:rsidR="00022FC4" w:rsidRPr="00022FC4">
        <w:t>atteint +130°C*.</w:t>
      </w:r>
    </w:p>
    <w:p w14:paraId="2B406E09" w14:textId="5E538A1D" w:rsidR="005705EF" w:rsidRPr="00CB416D" w:rsidRDefault="005705E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Valeur de </w:t>
      </w:r>
      <w:r w:rsidR="00F722E0">
        <w:br/>
      </w:r>
      <w:r>
        <w:t>raccordement :</w:t>
      </w:r>
      <w:r>
        <w:tab/>
      </w:r>
      <w:r>
        <w:tab/>
        <w:t>220–240 V / 50 Hz / 3,0 kW</w:t>
      </w:r>
    </w:p>
    <w:p w14:paraId="61CA19F9" w14:textId="77777777" w:rsidR="00E4158C" w:rsidRDefault="00E4158C" w:rsidP="00E4158C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</w:pPr>
      <w:r>
        <w:t>Émissions :</w:t>
      </w:r>
      <w:r>
        <w:tab/>
      </w:r>
      <w:r>
        <w:tab/>
        <w:t>Le niveau sonore de l’appareil au niveau du poste de travail est inférieur à 70 dB(A)</w:t>
      </w:r>
    </w:p>
    <w:p w14:paraId="215342F8" w14:textId="77777777" w:rsidR="005705EF" w:rsidRDefault="005705E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123CF1F3" w14:textId="77777777" w:rsidR="00B02662" w:rsidRDefault="00B0266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471AA030" w14:textId="186F4C16" w:rsidR="00B02662" w:rsidRDefault="00022FC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* </w:t>
      </w:r>
      <w:r>
        <w:rPr>
          <w:sz w:val="20"/>
        </w:rPr>
        <w:t xml:space="preserve">mesuré au centre géométrique du </w:t>
      </w:r>
      <w:r w:rsidRPr="00022FC4">
        <w:rPr>
          <w:sz w:val="20"/>
        </w:rPr>
        <w:t>distributeur</w:t>
      </w:r>
    </w:p>
    <w:p w14:paraId="07242CC9" w14:textId="45E67258" w:rsidR="005705EF" w:rsidRDefault="00F722E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br w:type="column"/>
      </w:r>
      <w:r w:rsidR="005705EF">
        <w:lastRenderedPageBreak/>
        <w:t>Particularité</w:t>
      </w:r>
    </w:p>
    <w:p w14:paraId="11D6BE3D" w14:textId="77777777" w:rsidR="005705EF" w:rsidRDefault="005705E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001AF52" w14:textId="77777777" w:rsidR="005705EF" w:rsidRPr="00A2350A" w:rsidRDefault="005705EF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Protégé contre les projections et les jets d’eau (IPX 5)</w:t>
      </w:r>
    </w:p>
    <w:p w14:paraId="5BAF8014" w14:textId="77777777" w:rsidR="00B02662" w:rsidRPr="00A2350A" w:rsidRDefault="00B02662" w:rsidP="00B02662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Plage de réglage ECO pour un chauffage efficace en énergie et un maintien de la vaisselle à une température &gt;/= 60 °C </w:t>
      </w:r>
    </w:p>
    <w:p w14:paraId="76D16E4F" w14:textId="77777777" w:rsidR="005705EF" w:rsidRDefault="005705E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Habillage intérieur laqué continu</w:t>
      </w:r>
    </w:p>
    <w:p w14:paraId="5B81BBBE" w14:textId="77777777" w:rsidR="005705EF" w:rsidRDefault="005705E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Possibilité de modifier la tension des ressorts</w:t>
      </w:r>
    </w:p>
    <w:p w14:paraId="1B0C495C" w14:textId="77777777" w:rsidR="005705EF" w:rsidRDefault="005705E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Répartition uniforme de la chaleur grâce au chauffage par air pulsé</w:t>
      </w:r>
    </w:p>
    <w:p w14:paraId="41670006" w14:textId="77777777" w:rsidR="005705EF" w:rsidRPr="001F694C" w:rsidRDefault="001F694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Selon DIN 18665, partie 9</w:t>
      </w:r>
    </w:p>
    <w:p w14:paraId="2778C976" w14:textId="77777777" w:rsidR="00A53EED" w:rsidRDefault="00A53EED">
      <w:pPr>
        <w:tabs>
          <w:tab w:val="left" w:pos="1701"/>
        </w:tabs>
        <w:ind w:right="-283"/>
      </w:pPr>
    </w:p>
    <w:p w14:paraId="5FD58131" w14:textId="77777777" w:rsidR="00A53EED" w:rsidRDefault="00A53EED">
      <w:pPr>
        <w:tabs>
          <w:tab w:val="left" w:pos="1701"/>
        </w:tabs>
        <w:ind w:right="-283"/>
      </w:pPr>
    </w:p>
    <w:p w14:paraId="1CCA2007" w14:textId="77777777" w:rsidR="005705EF" w:rsidRDefault="005705EF">
      <w:pPr>
        <w:tabs>
          <w:tab w:val="left" w:pos="1701"/>
        </w:tabs>
        <w:ind w:right="-283"/>
        <w:rPr>
          <w:b/>
        </w:rPr>
      </w:pPr>
      <w:r>
        <w:rPr>
          <w:b/>
        </w:rPr>
        <w:t>Marque</w:t>
      </w:r>
    </w:p>
    <w:p w14:paraId="113B5D40" w14:textId="77777777" w:rsidR="005705EF" w:rsidRDefault="005705EF">
      <w:pPr>
        <w:tabs>
          <w:tab w:val="left" w:pos="1701"/>
        </w:tabs>
        <w:ind w:right="-283"/>
      </w:pPr>
    </w:p>
    <w:p w14:paraId="2D751646" w14:textId="77777777" w:rsidR="005705EF" w:rsidRDefault="005705EF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  <w:t>B.PRO</w:t>
      </w:r>
    </w:p>
    <w:p w14:paraId="7FE453D7" w14:textId="0600F7BC" w:rsidR="005705EF" w:rsidRDefault="005705EF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Modèle :</w:t>
      </w:r>
      <w:r>
        <w:tab/>
      </w:r>
      <w:r>
        <w:tab/>
      </w:r>
      <w:r>
        <w:tab/>
      </w:r>
      <w:r>
        <w:tab/>
        <w:t>CEH 65/45</w:t>
      </w:r>
    </w:p>
    <w:p w14:paraId="75716C31" w14:textId="083A7116" w:rsidR="005705EF" w:rsidRDefault="005B167C">
      <w:pPr>
        <w:tabs>
          <w:tab w:val="left" w:pos="1701"/>
          <w:tab w:val="left" w:pos="2835"/>
          <w:tab w:val="left" w:pos="3402"/>
        </w:tabs>
        <w:ind w:right="-283"/>
      </w:pPr>
      <w:r>
        <w:t>Référence :</w:t>
      </w:r>
      <w:r>
        <w:tab/>
      </w:r>
      <w:r>
        <w:tab/>
      </w:r>
      <w:r>
        <w:tab/>
        <w:t>575291</w:t>
      </w:r>
    </w:p>
    <w:sectPr w:rsidR="005705EF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105C" w14:textId="77777777" w:rsidR="00F3372E" w:rsidRDefault="00F3372E">
      <w:r>
        <w:separator/>
      </w:r>
    </w:p>
  </w:endnote>
  <w:endnote w:type="continuationSeparator" w:id="0">
    <w:p w14:paraId="7FC7F1DD" w14:textId="77777777" w:rsidR="00F3372E" w:rsidRDefault="00F3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E10A" w14:textId="3667F11B" w:rsidR="00CD12E9" w:rsidRPr="00404E3B" w:rsidRDefault="008F1175">
    <w:pPr>
      <w:pStyle w:val="Fuzeile"/>
      <w:rPr>
        <w:sz w:val="16"/>
      </w:rPr>
    </w:pPr>
    <w:r>
      <w:rPr>
        <w:sz w:val="16"/>
      </w:rPr>
      <w:t xml:space="preserve">Texte de cahier des charges CEH 65/45/ Version </w:t>
    </w:r>
    <w:r w:rsidR="00022FC4">
      <w:rPr>
        <w:sz w:val="16"/>
      </w:rPr>
      <w:t>2</w:t>
    </w:r>
    <w:r>
      <w:rPr>
        <w:sz w:val="16"/>
      </w:rPr>
      <w:t xml:space="preserve">.0/ J. </w:t>
    </w:r>
    <w:r w:rsidR="00022FC4">
      <w:rPr>
        <w:sz w:val="16"/>
      </w:rPr>
      <w:t>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9534" w14:textId="77777777" w:rsidR="00F3372E" w:rsidRDefault="00F3372E">
      <w:r>
        <w:separator/>
      </w:r>
    </w:p>
  </w:footnote>
  <w:footnote w:type="continuationSeparator" w:id="0">
    <w:p w14:paraId="1B85FCC8" w14:textId="77777777" w:rsidR="00F3372E" w:rsidRDefault="00F3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5AD60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0253159">
    <w:abstractNumId w:val="9"/>
  </w:num>
  <w:num w:numId="2" w16cid:durableId="394552858">
    <w:abstractNumId w:val="10"/>
  </w:num>
  <w:num w:numId="3" w16cid:durableId="841234766">
    <w:abstractNumId w:val="4"/>
  </w:num>
  <w:num w:numId="4" w16cid:durableId="1172794849">
    <w:abstractNumId w:val="5"/>
  </w:num>
  <w:num w:numId="5" w16cid:durableId="1977027489">
    <w:abstractNumId w:val="18"/>
  </w:num>
  <w:num w:numId="6" w16cid:durableId="231278283">
    <w:abstractNumId w:val="0"/>
  </w:num>
  <w:num w:numId="7" w16cid:durableId="619923951">
    <w:abstractNumId w:val="2"/>
  </w:num>
  <w:num w:numId="8" w16cid:durableId="1128551297">
    <w:abstractNumId w:val="16"/>
  </w:num>
  <w:num w:numId="9" w16cid:durableId="1412002997">
    <w:abstractNumId w:val="6"/>
  </w:num>
  <w:num w:numId="10" w16cid:durableId="995381611">
    <w:abstractNumId w:val="7"/>
  </w:num>
  <w:num w:numId="11" w16cid:durableId="1657025535">
    <w:abstractNumId w:val="17"/>
  </w:num>
  <w:num w:numId="12" w16cid:durableId="1615139030">
    <w:abstractNumId w:val="19"/>
  </w:num>
  <w:num w:numId="13" w16cid:durableId="1904635803">
    <w:abstractNumId w:val="1"/>
  </w:num>
  <w:num w:numId="14" w16cid:durableId="1070688559">
    <w:abstractNumId w:val="15"/>
  </w:num>
  <w:num w:numId="15" w16cid:durableId="1055199977">
    <w:abstractNumId w:val="3"/>
  </w:num>
  <w:num w:numId="16" w16cid:durableId="1696929534">
    <w:abstractNumId w:val="12"/>
  </w:num>
  <w:num w:numId="17" w16cid:durableId="1740205983">
    <w:abstractNumId w:val="11"/>
  </w:num>
  <w:num w:numId="18" w16cid:durableId="31463988">
    <w:abstractNumId w:val="13"/>
  </w:num>
  <w:num w:numId="19" w16cid:durableId="36929480">
    <w:abstractNumId w:val="8"/>
  </w:num>
  <w:num w:numId="20" w16cid:durableId="5592874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6F1F"/>
    <w:rsid w:val="00022FC4"/>
    <w:rsid w:val="00063F95"/>
    <w:rsid w:val="00101677"/>
    <w:rsid w:val="0012724A"/>
    <w:rsid w:val="0013126B"/>
    <w:rsid w:val="00134807"/>
    <w:rsid w:val="001568AF"/>
    <w:rsid w:val="00184F71"/>
    <w:rsid w:val="001C3AA4"/>
    <w:rsid w:val="001F694C"/>
    <w:rsid w:val="0024530C"/>
    <w:rsid w:val="002B606F"/>
    <w:rsid w:val="00404E3B"/>
    <w:rsid w:val="004B44D5"/>
    <w:rsid w:val="004F5C40"/>
    <w:rsid w:val="005076C0"/>
    <w:rsid w:val="005550E9"/>
    <w:rsid w:val="005705EF"/>
    <w:rsid w:val="005752A0"/>
    <w:rsid w:val="005B167C"/>
    <w:rsid w:val="006034DC"/>
    <w:rsid w:val="00603603"/>
    <w:rsid w:val="006506F1"/>
    <w:rsid w:val="00690435"/>
    <w:rsid w:val="006F67B7"/>
    <w:rsid w:val="007010FF"/>
    <w:rsid w:val="00707BCC"/>
    <w:rsid w:val="00753D6A"/>
    <w:rsid w:val="007D28E2"/>
    <w:rsid w:val="00826822"/>
    <w:rsid w:val="00874005"/>
    <w:rsid w:val="008B2BD5"/>
    <w:rsid w:val="008B3D67"/>
    <w:rsid w:val="008F1175"/>
    <w:rsid w:val="009203F9"/>
    <w:rsid w:val="00922461"/>
    <w:rsid w:val="009265B3"/>
    <w:rsid w:val="00A2350A"/>
    <w:rsid w:val="00A53EED"/>
    <w:rsid w:val="00A67C75"/>
    <w:rsid w:val="00A97E8C"/>
    <w:rsid w:val="00AD58D2"/>
    <w:rsid w:val="00B02662"/>
    <w:rsid w:val="00B067B2"/>
    <w:rsid w:val="00B13B28"/>
    <w:rsid w:val="00B522E9"/>
    <w:rsid w:val="00BC696A"/>
    <w:rsid w:val="00C26BFB"/>
    <w:rsid w:val="00C769C6"/>
    <w:rsid w:val="00CB416D"/>
    <w:rsid w:val="00CC0D3E"/>
    <w:rsid w:val="00CC5A80"/>
    <w:rsid w:val="00CD12E9"/>
    <w:rsid w:val="00D43F1E"/>
    <w:rsid w:val="00DB6920"/>
    <w:rsid w:val="00E4158C"/>
    <w:rsid w:val="00F3372E"/>
    <w:rsid w:val="00F474A1"/>
    <w:rsid w:val="00F579C7"/>
    <w:rsid w:val="00F722E0"/>
    <w:rsid w:val="00F86F1F"/>
    <w:rsid w:val="00FB2BB7"/>
    <w:rsid w:val="00FB6859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9D50D"/>
  <w15:chartTrackingRefBased/>
  <w15:docId w15:val="{E5DF22D2-36D1-4860-A7DC-9D647154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KopfzeileZchn">
    <w:name w:val="Kopfzeile Zchn"/>
    <w:link w:val="Kopfzeile"/>
    <w:rsid w:val="00D43F1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ElaN Languages</dc:creator>
  <cp:keywords/>
  <cp:lastModifiedBy>Merkle, Julia</cp:lastModifiedBy>
  <cp:revision>30</cp:revision>
  <cp:lastPrinted>2003-01-21T06:39:00Z</cp:lastPrinted>
  <dcterms:created xsi:type="dcterms:W3CDTF">2021-09-24T20:28:00Z</dcterms:created>
  <dcterms:modified xsi:type="dcterms:W3CDTF">2024-08-12T06:52:00Z</dcterms:modified>
</cp:coreProperties>
</file>