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A2B3" w14:textId="77777777" w:rsidR="00FD758A" w:rsidRDefault="00FD758A">
      <w:pPr>
        <w:pStyle w:val="berschrift1"/>
        <w:rPr>
          <w:lang w:val="en-US"/>
        </w:rPr>
      </w:pPr>
      <w:r>
        <w:rPr>
          <w:lang w:val="en-US"/>
        </w:rPr>
        <w:t>Clean-Up Trolley ARW 9x6-3</w:t>
      </w:r>
    </w:p>
    <w:p w14:paraId="5A809C4B" w14:textId="77777777" w:rsidR="00FD758A" w:rsidRDefault="00FD758A">
      <w:pPr>
        <w:tabs>
          <w:tab w:val="left" w:pos="2552"/>
        </w:tabs>
        <w:rPr>
          <w:lang w:val="en-US"/>
        </w:rPr>
      </w:pPr>
    </w:p>
    <w:p w14:paraId="12F8DF69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09F83C7" w14:textId="77777777" w:rsidR="00FD758A" w:rsidRDefault="00FD758A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28F51D2" w14:textId="77777777" w:rsidR="00FD758A" w:rsidRDefault="00FD758A">
      <w:pPr>
        <w:tabs>
          <w:tab w:val="left" w:pos="2552"/>
        </w:tabs>
        <w:rPr>
          <w:lang w:val="en-US"/>
        </w:rPr>
      </w:pPr>
    </w:p>
    <w:p w14:paraId="3F42A7C0" w14:textId="77777777" w:rsidR="00FD758A" w:rsidRDefault="00FD758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7B2A4F02" w14:textId="77777777" w:rsidR="00FD758A" w:rsidRDefault="00FD758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2125ECE6" w14:textId="77777777" w:rsidR="00FD758A" w:rsidRDefault="00FD758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1030 mm</w:t>
      </w:r>
    </w:p>
    <w:p w14:paraId="46FE000E" w14:textId="77777777" w:rsidR="00FD758A" w:rsidRDefault="00FD758A">
      <w:pPr>
        <w:tabs>
          <w:tab w:val="left" w:pos="2552"/>
        </w:tabs>
        <w:rPr>
          <w:lang w:val="en-US"/>
        </w:rPr>
      </w:pPr>
    </w:p>
    <w:p w14:paraId="19550463" w14:textId="77777777" w:rsidR="00FD758A" w:rsidRDefault="00FD758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6D9601A2" w14:textId="77777777" w:rsidR="00FD758A" w:rsidRDefault="00FD758A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2EC9A27B" w14:textId="77777777" w:rsidR="00FD758A" w:rsidRDefault="00FD758A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086B21A1" w14:textId="77777777" w:rsidR="00FD758A" w:rsidRDefault="00FD758A">
      <w:pPr>
        <w:tabs>
          <w:tab w:val="left" w:pos="2552"/>
        </w:tabs>
        <w:rPr>
          <w:lang w:val="en-US"/>
        </w:rPr>
      </w:pPr>
    </w:p>
    <w:p w14:paraId="10F5C1E8" w14:textId="77777777" w:rsidR="00FD758A" w:rsidRDefault="00FD758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F1C9F66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81BD5C9" w14:textId="77777777" w:rsidR="00AD2AA0" w:rsidRDefault="00FD758A" w:rsidP="00AD2A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AD2AA0">
        <w:rPr>
          <w:lang w:val="en-US"/>
        </w:rPr>
        <w:t xml:space="preserve"> (AISI 304),</w:t>
      </w:r>
    </w:p>
    <w:p w14:paraId="6EE54FAA" w14:textId="77777777" w:rsidR="00FD758A" w:rsidRDefault="00FD758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6E2E302E" w14:textId="77777777" w:rsidR="00FD758A" w:rsidRDefault="00FD758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7CFB45A0" w14:textId="77777777" w:rsidR="00FD758A" w:rsidRDefault="00FD758A">
      <w:pPr>
        <w:pStyle w:val="Textkrper"/>
        <w:jc w:val="left"/>
        <w:rPr>
          <w:color w:val="auto"/>
          <w:lang w:val="en-US"/>
        </w:rPr>
      </w:pPr>
    </w:p>
    <w:p w14:paraId="4EAB0123" w14:textId="77777777" w:rsidR="00FD758A" w:rsidRDefault="00FD758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clean-up trolley can be moved on synthetic castors </w:t>
      </w:r>
      <w:r w:rsidR="004C2486">
        <w:rPr>
          <w:color w:val="auto"/>
          <w:lang w:val="en-US"/>
        </w:rPr>
        <w:t>in compliance with</w:t>
      </w:r>
      <w:r>
        <w:rPr>
          <w:color w:val="auto"/>
          <w:lang w:val="en-US"/>
        </w:rPr>
        <w:t xml:space="preserve"> DIN 18867, Part 8 (4 steering castors, 2 of them with locks, castor diameter 125 mm). The castors are inserted in the tube frame. Solid synthetic (</w:t>
      </w:r>
      <w:r w:rsidR="00E860E6" w:rsidRPr="00E860E6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115778DB" w14:textId="77777777" w:rsidR="00FD758A" w:rsidRDefault="00FD758A">
      <w:pPr>
        <w:pStyle w:val="Textkrper"/>
        <w:jc w:val="left"/>
        <w:rPr>
          <w:color w:val="auto"/>
          <w:lang w:val="en-US"/>
        </w:rPr>
      </w:pPr>
    </w:p>
    <w:p w14:paraId="63C41491" w14:textId="77777777" w:rsidR="00FD758A" w:rsidRDefault="00FD758A">
      <w:pPr>
        <w:pStyle w:val="Textkrper"/>
        <w:jc w:val="left"/>
        <w:rPr>
          <w:color w:val="auto"/>
          <w:lang w:val="en-US"/>
        </w:rPr>
      </w:pPr>
    </w:p>
    <w:p w14:paraId="7455E28D" w14:textId="77777777" w:rsidR="00FD758A" w:rsidRDefault="00FD758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DE1404C" w14:textId="77777777" w:rsidR="00FD758A" w:rsidRDefault="00FD758A">
      <w:pPr>
        <w:rPr>
          <w:lang w:val="en-US"/>
        </w:rPr>
      </w:pPr>
    </w:p>
    <w:p w14:paraId="656C6DDD" w14:textId="77777777" w:rsidR="00FD758A" w:rsidRDefault="00FD758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0BBF915A" w14:textId="77777777" w:rsidR="00FD758A" w:rsidRDefault="00FD758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F37E9E9" w14:textId="77777777" w:rsidR="00FD758A" w:rsidRDefault="00FD758A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B855DF">
        <w:rPr>
          <w:lang w:val="en-US"/>
        </w:rPr>
        <w:t>10</w:t>
      </w:r>
      <w:r>
        <w:rPr>
          <w:lang w:val="en-US"/>
        </w:rPr>
        <w:t>)</w:t>
      </w:r>
    </w:p>
    <w:p w14:paraId="2F155CAC" w14:textId="77777777" w:rsidR="008D5DA1" w:rsidRDefault="008D5DA1" w:rsidP="008D5DA1">
      <w:pPr>
        <w:numPr>
          <w:ilvl w:val="0"/>
          <w:numId w:val="21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19101D5" w14:textId="77777777" w:rsidR="00AE7407" w:rsidRDefault="00AE7407" w:rsidP="00AE7407">
      <w:pPr>
        <w:numPr>
          <w:ilvl w:val="0"/>
          <w:numId w:val="21"/>
        </w:numPr>
        <w:rPr>
          <w:rFonts w:cs="Times New Roman"/>
          <w:snapToGrid/>
          <w:szCs w:val="20"/>
        </w:rPr>
      </w:pPr>
      <w:r>
        <w:t>Gusset plates as reinforcement</w:t>
      </w:r>
    </w:p>
    <w:p w14:paraId="13002FEF" w14:textId="77777777" w:rsidR="00AE7407" w:rsidRDefault="00AE7407" w:rsidP="00BE74A8">
      <w:pPr>
        <w:numPr>
          <w:ilvl w:val="0"/>
          <w:numId w:val="21"/>
        </w:numPr>
        <w:rPr>
          <w:lang w:val="en-US"/>
        </w:rPr>
      </w:pPr>
      <w:r w:rsidRPr="00AE7407">
        <w:rPr>
          <w:lang w:val="en-GB"/>
        </w:rPr>
        <w:t xml:space="preserve">Shelf reinforcing profile </w:t>
      </w:r>
      <w:r w:rsidRPr="00AE7407">
        <w:rPr>
          <w:lang w:val="en-US"/>
        </w:rPr>
        <w:t>(No antidrumming mat in combination with the reinforcement profile)</w:t>
      </w:r>
    </w:p>
    <w:p w14:paraId="093B985A" w14:textId="77777777" w:rsidR="00FD758A" w:rsidRPr="00AE7407" w:rsidRDefault="00FD758A" w:rsidP="00AE7407">
      <w:pPr>
        <w:rPr>
          <w:lang w:val="en-US"/>
        </w:rPr>
      </w:pPr>
      <w:r w:rsidRPr="00AE7407">
        <w:rPr>
          <w:b/>
          <w:bCs/>
          <w:lang w:val="en-US"/>
        </w:rPr>
        <w:lastRenderedPageBreak/>
        <w:t>Technical data</w:t>
      </w:r>
    </w:p>
    <w:p w14:paraId="4E5074D5" w14:textId="77777777" w:rsidR="00FD758A" w:rsidRDefault="00FD758A">
      <w:pPr>
        <w:tabs>
          <w:tab w:val="left" w:pos="2552"/>
          <w:tab w:val="left" w:pos="5670"/>
        </w:tabs>
        <w:rPr>
          <w:lang w:val="en-US"/>
        </w:rPr>
      </w:pPr>
    </w:p>
    <w:p w14:paraId="7F9EFBCC" w14:textId="77777777" w:rsidR="00FD758A" w:rsidRPr="00AD2AA0" w:rsidRDefault="00FD758A" w:rsidP="00AD2AA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AD2AA0">
        <w:rPr>
          <w:lang w:val="en-GB"/>
        </w:rPr>
        <w:t>Material:</w:t>
      </w:r>
      <w:r w:rsidRPr="00AD2AA0">
        <w:rPr>
          <w:lang w:val="en-GB"/>
        </w:rPr>
        <w:tab/>
        <w:t>Chrome-nickel-steel 18/10</w:t>
      </w:r>
      <w:r w:rsidR="00AD2AA0">
        <w:rPr>
          <w:lang w:val="en-GB"/>
        </w:rPr>
        <w:t xml:space="preserve"> </w:t>
      </w:r>
      <w:r w:rsidR="00AD2AA0">
        <w:rPr>
          <w:lang w:val="en-US"/>
        </w:rPr>
        <w:t>(AISI 304),</w:t>
      </w:r>
    </w:p>
    <w:p w14:paraId="112EBAF2" w14:textId="77777777" w:rsidR="00FD758A" w:rsidRDefault="00163D9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D758A">
        <w:rPr>
          <w:rFonts w:ascii="Arial" w:hAnsi="Arial" w:cs="Arial"/>
        </w:rPr>
        <w:t>Polyamide (PA)</w:t>
      </w:r>
    </w:p>
    <w:p w14:paraId="48C696E0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163D9C">
        <w:rPr>
          <w:lang w:val="en-US"/>
        </w:rPr>
        <w:t xml:space="preserve">          </w:t>
      </w:r>
      <w:r w:rsidR="00977C66">
        <w:rPr>
          <w:lang w:val="en-US"/>
        </w:rPr>
        <w:t>22,2</w:t>
      </w:r>
      <w:r>
        <w:rPr>
          <w:lang w:val="en-US"/>
        </w:rPr>
        <w:t xml:space="preserve"> kg</w:t>
      </w:r>
    </w:p>
    <w:p w14:paraId="0596FBBA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0C43B4B6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80 kg</w:t>
      </w:r>
    </w:p>
    <w:p w14:paraId="1C786F0E" w14:textId="77777777" w:rsidR="00FD758A" w:rsidRDefault="00FD758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3</w:t>
      </w:r>
    </w:p>
    <w:p w14:paraId="534923C2" w14:textId="77777777" w:rsidR="00FD758A" w:rsidRDefault="00FD758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7EDA1BE" w14:textId="77777777" w:rsidR="00FD758A" w:rsidRDefault="00FD758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262CED1" w14:textId="77777777" w:rsidR="00FD758A" w:rsidRDefault="00FD758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13A4E4C5" w14:textId="77777777" w:rsidR="00FD758A" w:rsidRDefault="00FD758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7E91FED" w14:textId="77777777" w:rsidR="00FD758A" w:rsidRDefault="00FD758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057A9015" w14:textId="77777777" w:rsidR="00FD758A" w:rsidRDefault="00FD758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9F625F5" w14:textId="77777777" w:rsidR="00FD758A" w:rsidRDefault="00FD758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31B07EB" w14:textId="77777777" w:rsidR="00FD758A" w:rsidRDefault="00FD758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3F0B62AA" w14:textId="77777777" w:rsidR="00FD758A" w:rsidRDefault="00FD758A">
      <w:pPr>
        <w:tabs>
          <w:tab w:val="left" w:pos="2552"/>
          <w:tab w:val="left" w:pos="5670"/>
        </w:tabs>
        <w:rPr>
          <w:lang w:val="en-US"/>
        </w:rPr>
      </w:pPr>
    </w:p>
    <w:p w14:paraId="32D4F89D" w14:textId="77777777" w:rsidR="00FD758A" w:rsidRDefault="00A333C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00230" w:rsidRPr="00D00230">
        <w:rPr>
          <w:lang w:val="en-US"/>
        </w:rPr>
        <w:t>B.PRO</w:t>
      </w:r>
    </w:p>
    <w:p w14:paraId="2F527C3F" w14:textId="77777777" w:rsidR="00FD758A" w:rsidRDefault="00A333C0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FD758A">
        <w:rPr>
          <w:lang w:val="en-US"/>
        </w:rPr>
        <w:t>ARW 9x6-3</w:t>
      </w:r>
    </w:p>
    <w:p w14:paraId="0A75553B" w14:textId="77777777" w:rsidR="00FD758A" w:rsidRDefault="00A333C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FD758A">
        <w:rPr>
          <w:lang w:val="en-US"/>
        </w:rPr>
        <w:t>569 787</w:t>
      </w:r>
    </w:p>
    <w:sectPr w:rsidR="00FD758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9D12" w14:textId="77777777" w:rsidR="001B5FA9" w:rsidRDefault="001B5FA9">
      <w:r>
        <w:separator/>
      </w:r>
    </w:p>
  </w:endnote>
  <w:endnote w:type="continuationSeparator" w:id="0">
    <w:p w14:paraId="351FEDF2" w14:textId="77777777" w:rsidR="001B5FA9" w:rsidRDefault="001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C464" w14:textId="77777777" w:rsidR="00FD758A" w:rsidRDefault="00FD758A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ARW 9x6-3/ Version </w:t>
    </w:r>
    <w:r w:rsidR="00AE7407">
      <w:rPr>
        <w:noProof/>
        <w:sz w:val="16"/>
        <w:szCs w:val="16"/>
      </w:rPr>
      <w:t>9</w:t>
    </w:r>
    <w:r>
      <w:rPr>
        <w:noProof/>
        <w:sz w:val="16"/>
        <w:szCs w:val="16"/>
      </w:rPr>
      <w:t xml:space="preserve">.0/ </w:t>
    </w:r>
    <w:r w:rsidR="00977C66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71D4" w14:textId="77777777" w:rsidR="001B5FA9" w:rsidRDefault="001B5FA9">
      <w:r>
        <w:separator/>
      </w:r>
    </w:p>
  </w:footnote>
  <w:footnote w:type="continuationSeparator" w:id="0">
    <w:p w14:paraId="2790F92E" w14:textId="77777777" w:rsidR="001B5FA9" w:rsidRDefault="001B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AA0"/>
    <w:rsid w:val="00121A5D"/>
    <w:rsid w:val="00163D9C"/>
    <w:rsid w:val="001B5FA9"/>
    <w:rsid w:val="003455B7"/>
    <w:rsid w:val="003955D8"/>
    <w:rsid w:val="003F6FC0"/>
    <w:rsid w:val="004C2486"/>
    <w:rsid w:val="00615D56"/>
    <w:rsid w:val="00741A77"/>
    <w:rsid w:val="008D0244"/>
    <w:rsid w:val="008D5DA1"/>
    <w:rsid w:val="009546D3"/>
    <w:rsid w:val="00977C66"/>
    <w:rsid w:val="00A333C0"/>
    <w:rsid w:val="00AD2AA0"/>
    <w:rsid w:val="00AE7407"/>
    <w:rsid w:val="00B21EE7"/>
    <w:rsid w:val="00B855DF"/>
    <w:rsid w:val="00B92111"/>
    <w:rsid w:val="00BE74A8"/>
    <w:rsid w:val="00D00230"/>
    <w:rsid w:val="00E860E6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2210CD"/>
  <w15:chartTrackingRefBased/>
  <w15:docId w15:val="{560DDD04-B6FE-402D-B9B4-17A4D63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569 787 Abräumwagen ARW 9x6-3_US</vt:lpstr>
    </vt:vector>
  </TitlesOfParts>
  <Company>Tanner Translations GmbH+Co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569 787 Abräumwagen ARW 9x6-3_US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2021-09-25T14:30:00Z</dcterms:created>
  <dcterms:modified xsi:type="dcterms:W3CDTF">2021-09-25T14:30:00Z</dcterms:modified>
</cp:coreProperties>
</file>