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EBFFE" w14:textId="77777777" w:rsidR="008C07F8" w:rsidRDefault="009E2476">
      <w:pPr>
        <w:pStyle w:val="berschrift1"/>
        <w:ind w:right="-283"/>
      </w:pPr>
      <w:r>
        <w:t>Récipient à provisions/déchets VBR 400 K</w:t>
      </w:r>
    </w:p>
    <w:p w14:paraId="3EF83775" w14:textId="77777777" w:rsidR="008C07F8" w:rsidRDefault="008C07F8">
      <w:pPr>
        <w:tabs>
          <w:tab w:val="left" w:pos="2552"/>
        </w:tabs>
      </w:pPr>
    </w:p>
    <w:p w14:paraId="53746895" w14:textId="77777777" w:rsidR="008C07F8" w:rsidRDefault="008C07F8">
      <w:pPr>
        <w:pStyle w:val="Kopfzeile"/>
        <w:tabs>
          <w:tab w:val="clear" w:pos="4536"/>
          <w:tab w:val="clear" w:pos="9072"/>
          <w:tab w:val="left" w:pos="2552"/>
        </w:tabs>
      </w:pPr>
    </w:p>
    <w:p w14:paraId="33DCF73E" w14:textId="77777777" w:rsidR="008C07F8" w:rsidRDefault="009E2476">
      <w:pPr>
        <w:tabs>
          <w:tab w:val="left" w:pos="1701"/>
        </w:tabs>
        <w:ind w:left="283" w:right="-283" w:hanging="283"/>
        <w:rPr>
          <w:b/>
        </w:rPr>
      </w:pPr>
      <w:r>
        <w:rPr>
          <w:b/>
        </w:rPr>
        <w:t>Dimensions</w:t>
      </w:r>
    </w:p>
    <w:p w14:paraId="3F05DA91" w14:textId="77777777" w:rsidR="008C07F8" w:rsidRDefault="008C07F8">
      <w:pPr>
        <w:tabs>
          <w:tab w:val="left" w:pos="2552"/>
        </w:tabs>
      </w:pPr>
    </w:p>
    <w:p w14:paraId="5E9ECCBB" w14:textId="77777777" w:rsidR="00752A1F" w:rsidRDefault="009E2476">
      <w:pPr>
        <w:tabs>
          <w:tab w:val="left" w:pos="1701"/>
        </w:tabs>
        <w:ind w:left="283" w:right="-283" w:hanging="283"/>
      </w:pPr>
      <w:r>
        <w:t>Diamètre :</w:t>
      </w:r>
      <w:r>
        <w:tab/>
      </w:r>
      <w:r>
        <w:tab/>
      </w:r>
      <w:r>
        <w:tab/>
        <w:t>430 mm</w:t>
      </w:r>
    </w:p>
    <w:p w14:paraId="0D211CE5" w14:textId="77777777" w:rsidR="008C07F8" w:rsidRDefault="009E2476">
      <w:pPr>
        <w:tabs>
          <w:tab w:val="left" w:pos="2552"/>
        </w:tabs>
      </w:pPr>
      <w:r>
        <w:t>Hauteur :</w:t>
      </w:r>
      <w:r>
        <w:tab/>
      </w:r>
      <w:r>
        <w:tab/>
        <w:t>495 mm</w:t>
      </w:r>
    </w:p>
    <w:p w14:paraId="4A5E3370" w14:textId="77777777" w:rsidR="008C07F8" w:rsidRDefault="008C07F8">
      <w:pPr>
        <w:tabs>
          <w:tab w:val="left" w:pos="2552"/>
        </w:tabs>
      </w:pPr>
    </w:p>
    <w:p w14:paraId="1AE83D03" w14:textId="77777777" w:rsidR="008C07F8" w:rsidRDefault="008C07F8">
      <w:pPr>
        <w:tabs>
          <w:tab w:val="left" w:pos="2552"/>
        </w:tabs>
      </w:pPr>
    </w:p>
    <w:p w14:paraId="5A795017" w14:textId="77777777" w:rsidR="008C07F8" w:rsidRDefault="009E2476">
      <w:pPr>
        <w:tabs>
          <w:tab w:val="left" w:pos="1701"/>
        </w:tabs>
        <w:ind w:right="-425"/>
        <w:rPr>
          <w:b/>
        </w:rPr>
      </w:pPr>
      <w:r>
        <w:rPr>
          <w:b/>
        </w:rPr>
        <w:t>Modèle</w:t>
      </w:r>
    </w:p>
    <w:p w14:paraId="7B025E70" w14:textId="77777777" w:rsidR="00E45ECB" w:rsidRDefault="00E45ECB">
      <w:pPr>
        <w:tabs>
          <w:tab w:val="left" w:pos="1701"/>
        </w:tabs>
        <w:ind w:right="-425"/>
        <w:rPr>
          <w:b/>
        </w:rPr>
      </w:pPr>
    </w:p>
    <w:p w14:paraId="24EDF7F5" w14:textId="77777777" w:rsidR="00F50CF9" w:rsidRDefault="009E2476" w:rsidP="00F50CF9">
      <w:pPr>
        <w:tabs>
          <w:tab w:val="left" w:pos="-1440"/>
          <w:tab w:val="left" w:pos="-720"/>
          <w:tab w:val="left" w:pos="2552"/>
        </w:tabs>
        <w:rPr>
          <w:rFonts w:cs="Arial"/>
        </w:rPr>
      </w:pPr>
      <w:r>
        <w:t xml:space="preserve">Le récipient est entièrement fabriqué en acier inoxydable. Il est sans joints et sans soudure et ne présente donc aucune rainure de saleté. Des poignées de transport stables sont placées des deux côtés. </w:t>
      </w:r>
    </w:p>
    <w:p w14:paraId="584E42DA" w14:textId="77777777" w:rsidR="00F50CF9" w:rsidRDefault="009E2476" w:rsidP="00F50CF9">
      <w:pPr>
        <w:tabs>
          <w:tab w:val="left" w:pos="-1440"/>
          <w:tab w:val="left" w:pos="-720"/>
          <w:tab w:val="left" w:pos="2552"/>
        </w:tabs>
        <w:rPr>
          <w:rFonts w:cs="Arial"/>
        </w:rPr>
      </w:pPr>
      <w:r>
        <w:t xml:space="preserve">Le couvercle est équipé d’un bord antidébordement et d’une poignée encastrée emboutie centrale avec barre de séparation. Un dispositif d’accrochage permet d’accrocher le couvercle à l’extérieur sur le bord du récipient ou verticalement sur l’une des poignées. </w:t>
      </w:r>
    </w:p>
    <w:p w14:paraId="4D677EA9" w14:textId="77777777" w:rsidR="00F50CF9" w:rsidRDefault="00F50CF9" w:rsidP="00F50CF9">
      <w:pPr>
        <w:tabs>
          <w:tab w:val="left" w:pos="-1440"/>
          <w:tab w:val="left" w:pos="-720"/>
          <w:tab w:val="left" w:pos="2552"/>
        </w:tabs>
        <w:rPr>
          <w:rFonts w:cs="Arial"/>
        </w:rPr>
      </w:pPr>
    </w:p>
    <w:p w14:paraId="1672EE97" w14:textId="77777777" w:rsidR="00F50CF9" w:rsidRDefault="009E2476" w:rsidP="00F50CF9">
      <w:pPr>
        <w:tabs>
          <w:tab w:val="left" w:pos="-1440"/>
          <w:tab w:val="left" w:pos="-720"/>
          <w:tab w:val="left" w:pos="2552"/>
        </w:tabs>
        <w:rPr>
          <w:rFonts w:cs="Arial"/>
        </w:rPr>
      </w:pPr>
      <w:r>
        <w:t>Le châssis séparé est fabriqué en acier inoxydable et roule à l’aide de 4 roues pivotantes en acier galvanisé, avec un diamètre de roues de 75 mm. La hauteur relativement faible permet de placer le chariot en soubassement dans la zone des bandeaux de cuve, même avec le couvercle posé.</w:t>
      </w:r>
    </w:p>
    <w:p w14:paraId="5237DE7C" w14:textId="77777777" w:rsidR="00E45ECB" w:rsidRDefault="009E2476" w:rsidP="00E45ECB">
      <w:pPr>
        <w:tabs>
          <w:tab w:val="left" w:pos="-1440"/>
          <w:tab w:val="left" w:pos="-720"/>
          <w:tab w:val="left" w:pos="2552"/>
        </w:tabs>
        <w:rPr>
          <w:rFonts w:cs="Arial"/>
        </w:rPr>
      </w:pPr>
      <w:r>
        <w:t xml:space="preserve"> </w:t>
      </w:r>
    </w:p>
    <w:p w14:paraId="445F2DC3" w14:textId="77777777" w:rsidR="008C07F8" w:rsidRDefault="008C07F8">
      <w:pPr>
        <w:tabs>
          <w:tab w:val="left" w:pos="2552"/>
          <w:tab w:val="left" w:pos="5670"/>
        </w:tabs>
        <w:ind w:right="-425"/>
        <w:rPr>
          <w:b/>
        </w:rPr>
      </w:pPr>
    </w:p>
    <w:p w14:paraId="126B6F34" w14:textId="77777777" w:rsidR="008C07F8" w:rsidRDefault="009E2476">
      <w:pPr>
        <w:tabs>
          <w:tab w:val="left" w:pos="2552"/>
          <w:tab w:val="left" w:pos="5670"/>
        </w:tabs>
        <w:ind w:right="-425"/>
      </w:pPr>
      <w:r>
        <w:rPr>
          <w:b/>
        </w:rPr>
        <w:t>Caractéristiques techniques</w:t>
      </w:r>
    </w:p>
    <w:p w14:paraId="3E95DDCE" w14:textId="77777777" w:rsidR="008C07F8" w:rsidRDefault="008C07F8">
      <w:pPr>
        <w:tabs>
          <w:tab w:val="left" w:pos="2552"/>
          <w:tab w:val="left" w:pos="5670"/>
        </w:tabs>
        <w:ind w:right="-425"/>
      </w:pPr>
    </w:p>
    <w:p w14:paraId="166AFF5B" w14:textId="77777777" w:rsidR="008C07F8" w:rsidRDefault="009E2476">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Matériau :</w:t>
      </w:r>
      <w:r>
        <w:rPr>
          <w:rFonts w:ascii="Arial" w:hAnsi="Arial"/>
        </w:rPr>
        <w:tab/>
        <w:t>Acier inoxydable</w:t>
      </w:r>
    </w:p>
    <w:p w14:paraId="21D2FF88" w14:textId="77777777" w:rsidR="008C07F8" w:rsidRDefault="009E2476">
      <w:pPr>
        <w:tabs>
          <w:tab w:val="left" w:pos="2552"/>
          <w:tab w:val="left" w:pos="5670"/>
        </w:tabs>
        <w:ind w:right="-425"/>
      </w:pPr>
      <w:r>
        <w:t>Poids :</w:t>
      </w:r>
      <w:r>
        <w:tab/>
        <w:t>12,5 kg</w:t>
      </w:r>
    </w:p>
    <w:p w14:paraId="36A1C419" w14:textId="77777777" w:rsidR="008C07F8" w:rsidRDefault="009E2476">
      <w:pPr>
        <w:tabs>
          <w:tab w:val="left" w:pos="2552"/>
          <w:tab w:val="left" w:pos="5670"/>
        </w:tabs>
        <w:ind w:right="-425"/>
      </w:pPr>
      <w:r>
        <w:t>Capacité :</w:t>
      </w:r>
      <w:r>
        <w:tab/>
        <w:t>50 L</w:t>
      </w:r>
    </w:p>
    <w:p w14:paraId="76ECB5B1" w14:textId="77777777" w:rsidR="008C07F8" w:rsidRDefault="008C07F8">
      <w:pPr>
        <w:tabs>
          <w:tab w:val="left" w:pos="-720"/>
          <w:tab w:val="left" w:pos="2835"/>
          <w:tab w:val="left" w:pos="3402"/>
          <w:tab w:val="left" w:pos="6912"/>
        </w:tabs>
        <w:suppressAutoHyphens/>
        <w:ind w:right="-283"/>
      </w:pPr>
    </w:p>
    <w:p w14:paraId="7203337F" w14:textId="77777777" w:rsidR="00F50CF9" w:rsidRDefault="00F50CF9">
      <w:pPr>
        <w:tabs>
          <w:tab w:val="left" w:pos="-720"/>
          <w:tab w:val="left" w:pos="2835"/>
          <w:tab w:val="left" w:pos="3402"/>
          <w:tab w:val="left" w:pos="6912"/>
        </w:tabs>
        <w:suppressAutoHyphens/>
        <w:ind w:right="-283"/>
      </w:pPr>
    </w:p>
    <w:p w14:paraId="7FDB7410" w14:textId="77777777" w:rsidR="00F50CF9" w:rsidRDefault="009E2476" w:rsidP="00F50CF9">
      <w:pPr>
        <w:pStyle w:val="berschrift3"/>
        <w:tabs>
          <w:tab w:val="clear" w:pos="1701"/>
          <w:tab w:val="left" w:pos="-720"/>
          <w:tab w:val="left" w:pos="2552"/>
          <w:tab w:val="left" w:pos="2835"/>
          <w:tab w:val="left" w:pos="3402"/>
          <w:tab w:val="left" w:pos="6912"/>
        </w:tabs>
        <w:suppressAutoHyphens/>
        <w:ind w:right="-283"/>
      </w:pPr>
      <w:r>
        <w:t>Particularité</w:t>
      </w:r>
    </w:p>
    <w:p w14:paraId="21007D6E" w14:textId="77777777" w:rsidR="00F50CF9" w:rsidRDefault="00F50CF9" w:rsidP="00F50CF9">
      <w:pPr>
        <w:tabs>
          <w:tab w:val="left" w:pos="-720"/>
          <w:tab w:val="left" w:pos="2552"/>
          <w:tab w:val="left" w:pos="2835"/>
          <w:tab w:val="left" w:pos="3402"/>
          <w:tab w:val="left" w:pos="6912"/>
        </w:tabs>
        <w:suppressAutoHyphens/>
        <w:ind w:right="-283"/>
      </w:pPr>
    </w:p>
    <w:p w14:paraId="2AD8A2EE" w14:textId="77777777" w:rsidR="00F50CF9" w:rsidRPr="00F50CF9" w:rsidRDefault="009E2476" w:rsidP="00F50CF9">
      <w:pPr>
        <w:numPr>
          <w:ilvl w:val="0"/>
          <w:numId w:val="23"/>
        </w:numPr>
        <w:tabs>
          <w:tab w:val="left" w:pos="-720"/>
          <w:tab w:val="left" w:pos="2835"/>
          <w:tab w:val="left" w:pos="3402"/>
          <w:tab w:val="left" w:pos="6912"/>
        </w:tabs>
        <w:suppressAutoHyphens/>
        <w:ind w:right="-283"/>
      </w:pPr>
      <w:r>
        <w:t>Récipient sans soudures et sans joints avec base, couvercle et poignée encastrée</w:t>
      </w:r>
    </w:p>
    <w:p w14:paraId="53EF4041" w14:textId="77777777" w:rsidR="00F50CF9" w:rsidRDefault="00F50CF9" w:rsidP="00F50CF9">
      <w:pPr>
        <w:tabs>
          <w:tab w:val="left" w:pos="-720"/>
          <w:tab w:val="left" w:pos="2835"/>
          <w:tab w:val="left" w:pos="3402"/>
          <w:tab w:val="left" w:pos="6912"/>
        </w:tabs>
        <w:suppressAutoHyphens/>
        <w:ind w:right="-283"/>
      </w:pPr>
    </w:p>
    <w:p w14:paraId="1C80D582" w14:textId="77777777" w:rsidR="008C07F8" w:rsidRDefault="008C07F8">
      <w:pPr>
        <w:tabs>
          <w:tab w:val="left" w:pos="-720"/>
          <w:tab w:val="left" w:pos="2835"/>
          <w:tab w:val="left" w:pos="3402"/>
          <w:tab w:val="left" w:pos="6912"/>
        </w:tabs>
        <w:suppressAutoHyphens/>
        <w:ind w:right="-283"/>
      </w:pPr>
    </w:p>
    <w:p w14:paraId="158B922E" w14:textId="77777777" w:rsidR="008C07F8" w:rsidRDefault="009E2476">
      <w:pPr>
        <w:tabs>
          <w:tab w:val="left" w:pos="2552"/>
          <w:tab w:val="left" w:pos="5670"/>
        </w:tabs>
        <w:ind w:right="-425"/>
      </w:pPr>
      <w:r>
        <w:rPr>
          <w:b/>
        </w:rPr>
        <w:t>Marque</w:t>
      </w:r>
    </w:p>
    <w:p w14:paraId="267399CC" w14:textId="77777777" w:rsidR="008C07F8" w:rsidRDefault="008C07F8">
      <w:pPr>
        <w:tabs>
          <w:tab w:val="left" w:pos="2552"/>
          <w:tab w:val="left" w:pos="5670"/>
        </w:tabs>
        <w:ind w:right="-425"/>
      </w:pPr>
    </w:p>
    <w:p w14:paraId="3BDFEB98" w14:textId="77777777" w:rsidR="008C07F8" w:rsidRDefault="009E2476">
      <w:pPr>
        <w:tabs>
          <w:tab w:val="left" w:pos="1701"/>
          <w:tab w:val="left" w:pos="2835"/>
          <w:tab w:val="left" w:pos="3402"/>
        </w:tabs>
        <w:ind w:right="-283"/>
      </w:pPr>
      <w:r>
        <w:t>Fabricant :</w:t>
      </w:r>
      <w:r>
        <w:tab/>
        <w:t xml:space="preserve">            </w:t>
      </w:r>
      <w:r w:rsidR="00106ED5" w:rsidRPr="00106ED5">
        <w:t>B.PRO</w:t>
      </w:r>
    </w:p>
    <w:p w14:paraId="185E00CF" w14:textId="77777777" w:rsidR="008C07F8" w:rsidRDefault="009E2476">
      <w:pPr>
        <w:tabs>
          <w:tab w:val="left" w:pos="3402"/>
          <w:tab w:val="left" w:pos="5670"/>
        </w:tabs>
        <w:ind w:right="-425"/>
      </w:pPr>
      <w:r>
        <w:t>Modèle :                       VBR 400 K</w:t>
      </w:r>
    </w:p>
    <w:p w14:paraId="6951CFD3" w14:textId="77777777" w:rsidR="008C07F8" w:rsidRDefault="009E2476">
      <w:pPr>
        <w:tabs>
          <w:tab w:val="left" w:pos="3402"/>
          <w:tab w:val="left" w:pos="5670"/>
        </w:tabs>
        <w:ind w:right="-425"/>
      </w:pPr>
      <w:r>
        <w:t>Référence                    565913</w:t>
      </w:r>
    </w:p>
    <w:sectPr w:rsidR="008C07F8">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338D" w14:textId="77777777" w:rsidR="00A722DB" w:rsidRDefault="00A722DB">
      <w:r>
        <w:separator/>
      </w:r>
    </w:p>
  </w:endnote>
  <w:endnote w:type="continuationSeparator" w:id="0">
    <w:p w14:paraId="4F919E16" w14:textId="77777777" w:rsidR="00A722DB" w:rsidRDefault="00A7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4454" w14:textId="77777777" w:rsidR="00F50CF9" w:rsidRDefault="009E2476">
    <w:pPr>
      <w:pStyle w:val="Fuzeile"/>
      <w:rPr>
        <w:sz w:val="16"/>
      </w:rPr>
    </w:pPr>
    <w:r>
      <w:rPr>
        <w:sz w:val="16"/>
      </w:rPr>
      <w:t>Texte de cahier des charges VBR 400 K/ Version 2.0/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CE90" w14:textId="77777777" w:rsidR="00A722DB" w:rsidRDefault="00A722DB">
      <w:r>
        <w:separator/>
      </w:r>
    </w:p>
  </w:footnote>
  <w:footnote w:type="continuationSeparator" w:id="0">
    <w:p w14:paraId="0AC0CDA4" w14:textId="77777777" w:rsidR="00A722DB" w:rsidRDefault="00A72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65DCA"/>
    <w:rsid w:val="000B5808"/>
    <w:rsid w:val="00106ED5"/>
    <w:rsid w:val="00153843"/>
    <w:rsid w:val="0048261C"/>
    <w:rsid w:val="004E1179"/>
    <w:rsid w:val="005E0B15"/>
    <w:rsid w:val="00752A1F"/>
    <w:rsid w:val="008C07F8"/>
    <w:rsid w:val="009A6A18"/>
    <w:rsid w:val="009E2476"/>
    <w:rsid w:val="00A315B7"/>
    <w:rsid w:val="00A32652"/>
    <w:rsid w:val="00A722DB"/>
    <w:rsid w:val="00C416F0"/>
    <w:rsid w:val="00D64C4A"/>
    <w:rsid w:val="00D8080E"/>
    <w:rsid w:val="00DE7663"/>
    <w:rsid w:val="00E45ECB"/>
    <w:rsid w:val="00E463FA"/>
    <w:rsid w:val="00EA0D87"/>
    <w:rsid w:val="00EE0526"/>
    <w:rsid w:val="00F50C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E51B30"/>
  <w15:chartTrackingRefBased/>
  <w15:docId w15:val="{0B55B84E-9C75-4D4D-B070-90D029AA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1003</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2021-09-25T18:56:00Z</dcterms:created>
  <dcterms:modified xsi:type="dcterms:W3CDTF">2021-09-25T18:56:00Z</dcterms:modified>
</cp:coreProperties>
</file>