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60F17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5CEDBF7E" w14:textId="77777777" w:rsidR="00B34498" w:rsidRPr="000301F2" w:rsidRDefault="009D7B1E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BASIC LINE S-4 - Service de soupe</w:t>
      </w:r>
    </w:p>
    <w:p w14:paraId="27D83252" w14:textId="77777777" w:rsidR="003A5A20" w:rsidRPr="000301F2" w:rsidRDefault="003A5A20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2C0F3CB2" w14:textId="77777777" w:rsidR="005119FB" w:rsidRPr="000301F2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5F984863" w14:textId="77777777" w:rsidR="00B34498" w:rsidRPr="008242C3" w:rsidRDefault="009D7B1E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Dimensions :</w:t>
      </w:r>
    </w:p>
    <w:p w14:paraId="701DE1FE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4573B9EB" w14:textId="77777777" w:rsidR="00B34498" w:rsidRDefault="009D7B1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Largeur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1595 mm</w:t>
      </w:r>
    </w:p>
    <w:p w14:paraId="03B054E6" w14:textId="77777777" w:rsidR="0056384E" w:rsidRPr="004012B8" w:rsidRDefault="009D7B1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Profondeur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1EB5BDF2" w14:textId="77777777" w:rsidR="004012B8" w:rsidRPr="00C60B01" w:rsidRDefault="009D7B1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Profondeur 1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775 mm</w:t>
      </w:r>
    </w:p>
    <w:p w14:paraId="3D449DD8" w14:textId="77777777" w:rsidR="00C921B5" w:rsidRDefault="009D7B1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avec glissière pour plateaux rabattue côté client)</w:t>
      </w:r>
    </w:p>
    <w:p w14:paraId="0C683267" w14:textId="77777777" w:rsidR="004012B8" w:rsidRPr="00865639" w:rsidRDefault="009D7B1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Profondeur 2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990 mm</w:t>
      </w:r>
    </w:p>
    <w:p w14:paraId="14623F1C" w14:textId="77777777" w:rsidR="00C921B5" w:rsidRPr="00865639" w:rsidRDefault="009D7B1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avec glissière pour plateaux relevée côté client)</w:t>
      </w:r>
    </w:p>
    <w:p w14:paraId="181BD6A9" w14:textId="77777777" w:rsidR="00B34498" w:rsidRPr="00865639" w:rsidRDefault="009D7B1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Hauteur de recouvrement 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900 mm </w:t>
      </w:r>
    </w:p>
    <w:p w14:paraId="7F06E1CA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4610FEC4" w14:textId="77777777" w:rsidR="00141FD5" w:rsidRDefault="009D7B1E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L’équipement final du module dépend de la configuration ou variante d’équipement Smart, Emotion ou Design sélectionnée.</w:t>
      </w:r>
    </w:p>
    <w:p w14:paraId="150A6CC3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4BFB3A39" w14:textId="77777777" w:rsidR="00B34498" w:rsidRPr="00C35B88" w:rsidRDefault="009D7B1E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Module de base :</w:t>
      </w:r>
    </w:p>
    <w:p w14:paraId="7FF57E2F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07F6DD58" w14:textId="77777777" w:rsidR="008077FB" w:rsidRDefault="009D7B1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Module roulant, basé sur une construction en tôle autoportante solide, prêt à connecter, avec câble de raccordement d’environ 2 m de long et fiche. </w:t>
      </w:r>
    </w:p>
    <w:p w14:paraId="24962DA5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3061E105" w14:textId="77777777" w:rsidR="008077FB" w:rsidRPr="008077FB" w:rsidRDefault="009D7B1E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Recouvrement :</w:t>
      </w:r>
    </w:p>
    <w:p w14:paraId="36023AA2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0E902D13" w14:textId="77777777" w:rsidR="000C10BD" w:rsidRDefault="009D7B1E" w:rsidP="000C10B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Le service de soupe est équipé d’un recouvrement en acier inoxydable </w:t>
      </w:r>
      <w:proofErr w:type="spellStart"/>
      <w:r>
        <w:rPr>
          <w:rFonts w:ascii="Arial" w:hAnsi="Arial"/>
        </w:rPr>
        <w:t>microlisé</w:t>
      </w:r>
      <w:proofErr w:type="spellEnd"/>
      <w:r>
        <w:rPr>
          <w:rFonts w:ascii="Arial" w:hAnsi="Arial"/>
        </w:rPr>
        <w:t xml:space="preserve"> de 40 mm de haut, avec rebord lisse sur tous les côtés. Un bandeau d’env. 240 mm de haut se trouve en dessous du recouvrement sur les deux longs côtés. Une casserole à soupe Spring de 10 l est intégrée au choix à gauche ou à droite dans le recouvrement.</w:t>
      </w:r>
    </w:p>
    <w:p w14:paraId="4C1DEBAC" w14:textId="77777777" w:rsidR="00C00BF9" w:rsidRDefault="00C00BF9" w:rsidP="00B12139">
      <w:pPr>
        <w:suppressAutoHyphens/>
        <w:ind w:right="3402"/>
        <w:rPr>
          <w:rFonts w:ascii="Arial" w:hAnsi="Arial"/>
        </w:rPr>
      </w:pPr>
    </w:p>
    <w:p w14:paraId="32E7010C" w14:textId="77777777" w:rsidR="00C00BF9" w:rsidRPr="00F927A5" w:rsidRDefault="009D7B1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L’interrupteur marche/arrêt pour la casserole à soupe est intégré protégé contre les chocs dans le bandeau des cuves (bandeau de commande) disposé en oblique côté commande. </w:t>
      </w:r>
    </w:p>
    <w:p w14:paraId="632001D9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5DF3CF87" w14:textId="77777777" w:rsidR="005E2E5D" w:rsidRPr="00396B21" w:rsidRDefault="009D7B1E" w:rsidP="005E2E5D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Soubassement :</w:t>
      </w:r>
    </w:p>
    <w:p w14:paraId="6D6D44E2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13F87FF3" w14:textId="77777777" w:rsidR="005E2E5D" w:rsidRDefault="009D7B1E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Les joues latérales, ainsi que le bandeau côté client et côté commande devant la zone des cuves sont en tôle fine galvanisée électrolytiquement des deux côtés et laquée : teinte standard du buffet de base en dessous du recouvrement en acier inoxydable :</w:t>
      </w:r>
    </w:p>
    <w:p w14:paraId="3F514BD8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2CD76AA5" w14:textId="77777777" w:rsidR="005E2E5D" w:rsidRDefault="009D7B1E" w:rsidP="005E2E5D">
      <w:pPr>
        <w:suppressAutoHyphens/>
        <w:ind w:right="3402"/>
        <w:rPr>
          <w:rFonts w:ascii="Arial" w:hAnsi="Arial"/>
        </w:rPr>
      </w:pPr>
      <w:proofErr w:type="gramStart"/>
      <w:r>
        <w:rPr>
          <w:rFonts w:ascii="Arial" w:hAnsi="Arial"/>
        </w:rPr>
        <w:t>gris</w:t>
      </w:r>
      <w:proofErr w:type="gramEnd"/>
      <w:r>
        <w:rPr>
          <w:rFonts w:ascii="Arial" w:hAnsi="Arial"/>
        </w:rPr>
        <w:t xml:space="preserve"> signalisation (B RAL 7043)</w:t>
      </w:r>
    </w:p>
    <w:p w14:paraId="5F23193A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608BA561" w14:textId="77777777" w:rsidR="005E2E5D" w:rsidRDefault="009D7B1E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  <w:i/>
        </w:rPr>
        <w:lastRenderedPageBreak/>
        <w:t xml:space="preserve">En variante, les teintes suivantes sont disponibles pour le soubassement : </w:t>
      </w:r>
      <w:r>
        <w:rPr>
          <w:rFonts w:ascii="Arial" w:hAnsi="Arial"/>
        </w:rPr>
        <w:t xml:space="preserve">voir les teintes </w:t>
      </w:r>
      <w:r w:rsidR="00B52FC8" w:rsidRPr="00B52FC8">
        <w:rPr>
          <w:rFonts w:ascii="Arial" w:hAnsi="Arial"/>
        </w:rPr>
        <w:t>B.PRO</w:t>
      </w:r>
      <w:r>
        <w:rPr>
          <w:rFonts w:ascii="Arial" w:hAnsi="Arial"/>
        </w:rPr>
        <w:t xml:space="preserve"> dans les accessoires/options. *</w:t>
      </w:r>
    </w:p>
    <w:p w14:paraId="685455E0" w14:textId="77777777" w:rsidR="00C46AC0" w:rsidRDefault="00C46AC0" w:rsidP="005E2E5D">
      <w:pPr>
        <w:suppressAutoHyphens/>
        <w:ind w:right="3402"/>
        <w:rPr>
          <w:rFonts w:ascii="Arial" w:hAnsi="Arial"/>
        </w:rPr>
      </w:pPr>
    </w:p>
    <w:p w14:paraId="066F51D6" w14:textId="77777777" w:rsidR="00C46AC0" w:rsidRPr="00C46AC0" w:rsidRDefault="009D7B1E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Deux prises de courant supplémentaires 230 V à contact de terre latéral pour le raccordement de la casserole à soupe (et en option pour le niveau constant pour assiettes) sont intégrées côté commande du côté intérieur de la joue latérale. </w:t>
      </w:r>
    </w:p>
    <w:p w14:paraId="77A341F3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4D2604DB" w14:textId="77777777" w:rsidR="005E2E5D" w:rsidRPr="00F45E59" w:rsidRDefault="009D7B1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 la face inférieure des joues latérales est monté le train de roulement : côté commande 2 roues pivotantes jumelées avec frein, côté client 2 roues pivotantes jumelées, diamètre des roues 75 </w:t>
      </w:r>
      <w:proofErr w:type="spellStart"/>
      <w:r>
        <w:rPr>
          <w:rFonts w:ascii="Arial" w:hAnsi="Arial"/>
        </w:rPr>
        <w:t>mm.</w:t>
      </w:r>
      <w:proofErr w:type="spellEnd"/>
    </w:p>
    <w:p w14:paraId="46952FE2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645AC146" w14:textId="77777777" w:rsidR="008077FB" w:rsidRDefault="009D7B1E" w:rsidP="008077FB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Accessoires/options :</w:t>
      </w:r>
    </w:p>
    <w:p w14:paraId="08B581E9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36457534" w14:textId="77777777" w:rsidR="00C21A08" w:rsidRDefault="009D7B1E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Couleur du corps : Joues latérales et bandeaux laqués dans les teintes </w:t>
      </w:r>
      <w:r w:rsidR="00B52FC8" w:rsidRPr="00B52FC8">
        <w:rPr>
          <w:rFonts w:ascii="Arial" w:hAnsi="Arial"/>
        </w:rPr>
        <w:t>B.PRO</w:t>
      </w:r>
      <w:r>
        <w:rPr>
          <w:rFonts w:ascii="Arial" w:hAnsi="Arial"/>
        </w:rPr>
        <w:t>. *</w:t>
      </w:r>
    </w:p>
    <w:p w14:paraId="21AE1027" w14:textId="77777777" w:rsidR="00C21A08" w:rsidRDefault="00C21A08" w:rsidP="008077FB">
      <w:pPr>
        <w:suppressAutoHyphens/>
        <w:ind w:right="3402"/>
        <w:rPr>
          <w:rFonts w:ascii="Arial" w:hAnsi="Arial"/>
          <w:b/>
          <w:color w:val="FF0000"/>
        </w:rPr>
      </w:pPr>
    </w:p>
    <w:p w14:paraId="2DAE6DDA" w14:textId="77777777" w:rsidR="001E4EB1" w:rsidRDefault="009D7B1E" w:rsidP="001E4EB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Habillage frontal côté client, facile à accrocher et décrocher entre les joues latérales </w:t>
      </w:r>
    </w:p>
    <w:p w14:paraId="17B91B31" w14:textId="77777777" w:rsidR="001E4EB1" w:rsidRDefault="001E4EB1" w:rsidP="001E4EB1">
      <w:pPr>
        <w:pStyle w:val="Listenabsatz"/>
        <w:rPr>
          <w:rFonts w:ascii="Arial" w:hAnsi="Arial"/>
        </w:rPr>
      </w:pPr>
    </w:p>
    <w:p w14:paraId="3354D5DB" w14:textId="77777777" w:rsidR="001E4EB1" w:rsidRDefault="009D7B1E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proofErr w:type="gramStart"/>
      <w:r>
        <w:rPr>
          <w:rFonts w:ascii="Arial" w:hAnsi="Arial"/>
        </w:rPr>
        <w:t>en</w:t>
      </w:r>
      <w:proofErr w:type="gramEnd"/>
      <w:r>
        <w:rPr>
          <w:rFonts w:ascii="Arial" w:hAnsi="Arial"/>
        </w:rPr>
        <w:t xml:space="preserve"> tôle fine, galvanisée électrolytiquement double face, laquée dans les teintes </w:t>
      </w:r>
      <w:r w:rsidR="00B52FC8" w:rsidRPr="00B52FC8">
        <w:rPr>
          <w:rFonts w:ascii="Arial" w:hAnsi="Arial"/>
        </w:rPr>
        <w:t>B.PRO</w:t>
      </w:r>
      <w:r>
        <w:rPr>
          <w:rFonts w:ascii="Arial" w:hAnsi="Arial"/>
        </w:rPr>
        <w:t xml:space="preserve"> BASIC LINE. *</w:t>
      </w:r>
    </w:p>
    <w:p w14:paraId="589D0F18" w14:textId="77777777" w:rsidR="001E4EB1" w:rsidRDefault="001E4EB1" w:rsidP="001E4EB1">
      <w:pPr>
        <w:pStyle w:val="Listenabsatz"/>
        <w:ind w:left="0"/>
        <w:rPr>
          <w:rFonts w:ascii="Arial" w:hAnsi="Arial"/>
        </w:rPr>
      </w:pPr>
    </w:p>
    <w:p w14:paraId="1C58F213" w14:textId="77777777" w:rsidR="001E4EB1" w:rsidRDefault="009D7B1E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proofErr w:type="gramStart"/>
      <w:r>
        <w:rPr>
          <w:rFonts w:ascii="Arial" w:hAnsi="Arial"/>
        </w:rPr>
        <w:t>ou</w:t>
      </w:r>
      <w:proofErr w:type="gramEnd"/>
      <w:r>
        <w:rPr>
          <w:rFonts w:ascii="Arial" w:hAnsi="Arial"/>
        </w:rPr>
        <w:t xml:space="preserve"> en panneau de particules revêtu de stratifié </w:t>
      </w:r>
      <w:proofErr w:type="spellStart"/>
      <w:r>
        <w:rPr>
          <w:rFonts w:ascii="Arial" w:hAnsi="Arial"/>
        </w:rPr>
        <w:t>Resopal</w:t>
      </w:r>
      <w:proofErr w:type="spellEnd"/>
    </w:p>
    <w:p w14:paraId="1B4B7B07" w14:textId="77777777" w:rsidR="00047465" w:rsidRDefault="00047465" w:rsidP="00047465">
      <w:pPr>
        <w:pStyle w:val="Listenabsatz"/>
        <w:rPr>
          <w:rFonts w:ascii="Arial" w:hAnsi="Arial"/>
        </w:rPr>
      </w:pPr>
    </w:p>
    <w:p w14:paraId="39BB70E5" w14:textId="77777777" w:rsidR="00047465" w:rsidRDefault="009D7B1E" w:rsidP="000474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Habillage frontal côté commande, facile à accrocher et décrocher entre les joues latérales</w:t>
      </w:r>
    </w:p>
    <w:p w14:paraId="66E6C141" w14:textId="77777777" w:rsidR="00047465" w:rsidRDefault="00047465" w:rsidP="00047465">
      <w:pPr>
        <w:suppressAutoHyphens/>
        <w:ind w:left="720" w:right="3402"/>
        <w:rPr>
          <w:rFonts w:ascii="Arial" w:hAnsi="Arial"/>
        </w:rPr>
      </w:pPr>
    </w:p>
    <w:p w14:paraId="3D90C011" w14:textId="77777777" w:rsidR="00C31CEE" w:rsidRDefault="009D7B1E" w:rsidP="00C31CEE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proofErr w:type="gramStart"/>
      <w:r>
        <w:rPr>
          <w:rFonts w:ascii="Arial" w:hAnsi="Arial"/>
        </w:rPr>
        <w:t>en</w:t>
      </w:r>
      <w:proofErr w:type="gramEnd"/>
      <w:r>
        <w:rPr>
          <w:rFonts w:ascii="Arial" w:hAnsi="Arial"/>
        </w:rPr>
        <w:t xml:space="preserve"> tôle fine, galvanisée électrolytiquement double face, laquée dans les teintes </w:t>
      </w:r>
      <w:r w:rsidR="00B52FC8" w:rsidRPr="00B52FC8">
        <w:rPr>
          <w:rFonts w:ascii="Arial" w:hAnsi="Arial"/>
        </w:rPr>
        <w:t>B.PRO</w:t>
      </w:r>
      <w:r>
        <w:rPr>
          <w:rFonts w:ascii="Arial" w:hAnsi="Arial"/>
        </w:rPr>
        <w:t xml:space="preserve"> BASIC LINE. *</w:t>
      </w:r>
    </w:p>
    <w:p w14:paraId="752523C4" w14:textId="77777777" w:rsidR="00C31CEE" w:rsidRDefault="00C31CEE" w:rsidP="00C31CEE">
      <w:pPr>
        <w:pStyle w:val="Listenabsatz"/>
        <w:ind w:left="0"/>
        <w:rPr>
          <w:rFonts w:ascii="Arial" w:hAnsi="Arial"/>
        </w:rPr>
      </w:pPr>
    </w:p>
    <w:p w14:paraId="2CD9FD02" w14:textId="77777777" w:rsidR="00C31CEE" w:rsidRDefault="009D7B1E" w:rsidP="00C31CEE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proofErr w:type="gramStart"/>
      <w:r>
        <w:rPr>
          <w:rFonts w:ascii="Arial" w:hAnsi="Arial"/>
        </w:rPr>
        <w:t>ou</w:t>
      </w:r>
      <w:proofErr w:type="gramEnd"/>
      <w:r>
        <w:rPr>
          <w:rFonts w:ascii="Arial" w:hAnsi="Arial"/>
        </w:rPr>
        <w:t xml:space="preserve"> en panneau de particules revêtu de stratifié </w:t>
      </w:r>
      <w:proofErr w:type="spellStart"/>
      <w:r>
        <w:rPr>
          <w:rFonts w:ascii="Arial" w:hAnsi="Arial"/>
        </w:rPr>
        <w:t>Resopal</w:t>
      </w:r>
      <w:proofErr w:type="spellEnd"/>
    </w:p>
    <w:p w14:paraId="41CBF14B" w14:textId="77777777" w:rsidR="001E4EB1" w:rsidRDefault="001E4EB1" w:rsidP="001E4EB1">
      <w:pPr>
        <w:pStyle w:val="Listenabsatz"/>
        <w:rPr>
          <w:rFonts w:ascii="Arial" w:hAnsi="Arial"/>
        </w:rPr>
      </w:pPr>
    </w:p>
    <w:p w14:paraId="47F4B398" w14:textId="77777777" w:rsidR="001E4EB1" w:rsidRDefault="009D7B1E" w:rsidP="001E4EB1">
      <w:pPr>
        <w:pStyle w:val="Listenabsatz"/>
        <w:numPr>
          <w:ilvl w:val="0"/>
          <w:numId w:val="21"/>
        </w:numPr>
        <w:rPr>
          <w:rFonts w:ascii="Arial" w:hAnsi="Arial"/>
        </w:rPr>
      </w:pPr>
      <w:r>
        <w:rPr>
          <w:rFonts w:ascii="Arial" w:hAnsi="Arial"/>
        </w:rPr>
        <w:t xml:space="preserve">Teintes </w:t>
      </w:r>
      <w:r w:rsidR="00B52FC8" w:rsidRPr="00B52FC8">
        <w:rPr>
          <w:rFonts w:ascii="Arial" w:hAnsi="Arial"/>
        </w:rPr>
        <w:t>B.PRO</w:t>
      </w:r>
      <w:r>
        <w:rPr>
          <w:rFonts w:ascii="Arial" w:hAnsi="Arial"/>
        </w:rPr>
        <w:t xml:space="preserve"> : *</w:t>
      </w:r>
    </w:p>
    <w:p w14:paraId="119AB6E6" w14:textId="77777777" w:rsidR="001E4EB1" w:rsidRDefault="009D7B1E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proofErr w:type="gramStart"/>
      <w:r>
        <w:t>blanc</w:t>
      </w:r>
      <w:proofErr w:type="gramEnd"/>
      <w:r>
        <w:t xml:space="preserve"> de sécurité, RAL 9003</w:t>
      </w:r>
    </w:p>
    <w:p w14:paraId="77673F83" w14:textId="77777777" w:rsidR="001E4EB1" w:rsidRDefault="009D7B1E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proofErr w:type="gramStart"/>
      <w:r>
        <w:t>blanc</w:t>
      </w:r>
      <w:proofErr w:type="gramEnd"/>
      <w:r>
        <w:t xml:space="preserve"> perle, RAL 1013</w:t>
      </w:r>
    </w:p>
    <w:p w14:paraId="4EFC7A00" w14:textId="77777777" w:rsidR="001E4EB1" w:rsidRDefault="009D7B1E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proofErr w:type="gramStart"/>
      <w:r>
        <w:t>brun</w:t>
      </w:r>
      <w:proofErr w:type="gramEnd"/>
      <w:r>
        <w:t xml:space="preserve"> pâle, RAL 8025</w:t>
      </w:r>
    </w:p>
    <w:p w14:paraId="46E1441E" w14:textId="77777777" w:rsidR="001E4EB1" w:rsidRDefault="009D7B1E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proofErr w:type="gramStart"/>
      <w:r>
        <w:t>gris</w:t>
      </w:r>
      <w:proofErr w:type="gramEnd"/>
      <w:r>
        <w:t xml:space="preserve"> pierre, RAL 7030</w:t>
      </w:r>
    </w:p>
    <w:p w14:paraId="4AFEFEE0" w14:textId="77777777" w:rsidR="001E4EB1" w:rsidRDefault="009D7B1E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proofErr w:type="gramStart"/>
      <w:r>
        <w:t>gris</w:t>
      </w:r>
      <w:proofErr w:type="gramEnd"/>
      <w:r>
        <w:t xml:space="preserve"> terre d’ombre, RAL 7022</w:t>
      </w:r>
    </w:p>
    <w:p w14:paraId="3384B842" w14:textId="77777777" w:rsidR="001E4EB1" w:rsidRDefault="009D7B1E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proofErr w:type="gramStart"/>
      <w:r>
        <w:t>gris</w:t>
      </w:r>
      <w:proofErr w:type="gramEnd"/>
      <w:r>
        <w:t xml:space="preserve"> signalisation B RAL 7043</w:t>
      </w:r>
    </w:p>
    <w:p w14:paraId="059D9080" w14:textId="77777777" w:rsidR="001E4EB1" w:rsidRDefault="009D7B1E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proofErr w:type="gramStart"/>
      <w:r>
        <w:t>noir</w:t>
      </w:r>
      <w:proofErr w:type="gramEnd"/>
      <w:r>
        <w:t xml:space="preserve"> graphite, RAL 9011</w:t>
      </w:r>
    </w:p>
    <w:p w14:paraId="08BD2DC9" w14:textId="77777777" w:rsidR="001E4EB1" w:rsidRDefault="009D7B1E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proofErr w:type="gramStart"/>
      <w:r>
        <w:t>jaune</w:t>
      </w:r>
      <w:proofErr w:type="gramEnd"/>
      <w:r>
        <w:t xml:space="preserve"> genêt, RAL 1032</w:t>
      </w:r>
    </w:p>
    <w:p w14:paraId="5C921CBC" w14:textId="77777777" w:rsidR="001E4EB1" w:rsidRPr="00D50840" w:rsidRDefault="009D7B1E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proofErr w:type="gramStart"/>
      <w:r>
        <w:t>rouge</w:t>
      </w:r>
      <w:proofErr w:type="gramEnd"/>
      <w:r>
        <w:t xml:space="preserve"> carmin, RAL 3002</w:t>
      </w:r>
    </w:p>
    <w:p w14:paraId="6C653249" w14:textId="77777777" w:rsidR="001E4EB1" w:rsidRPr="00D50840" w:rsidRDefault="009D7B1E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proofErr w:type="gramStart"/>
      <w:r>
        <w:lastRenderedPageBreak/>
        <w:t>bleu</w:t>
      </w:r>
      <w:proofErr w:type="gramEnd"/>
      <w:r>
        <w:t xml:space="preserve"> saphir, RAL 5003</w:t>
      </w:r>
    </w:p>
    <w:p w14:paraId="0146FA22" w14:textId="77777777" w:rsidR="001E4EB1" w:rsidRPr="00D50840" w:rsidRDefault="009D7B1E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proofErr w:type="gramStart"/>
      <w:r>
        <w:t>mûre</w:t>
      </w:r>
      <w:proofErr w:type="gramEnd"/>
      <w:r>
        <w:t>, Pantone 228 C</w:t>
      </w:r>
    </w:p>
    <w:p w14:paraId="1AF69523" w14:textId="77777777" w:rsidR="001E4EB1" w:rsidRPr="00D50840" w:rsidRDefault="009D7B1E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proofErr w:type="gramStart"/>
      <w:r>
        <w:t>limette</w:t>
      </w:r>
      <w:proofErr w:type="gramEnd"/>
      <w:r>
        <w:t>, Pantone 382 C</w:t>
      </w:r>
    </w:p>
    <w:p w14:paraId="00C42EB2" w14:textId="77777777" w:rsidR="001E4EB1" w:rsidRPr="00D50840" w:rsidRDefault="009D7B1E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proofErr w:type="gramStart"/>
      <w:r>
        <w:t>espresso</w:t>
      </w:r>
      <w:proofErr w:type="gramEnd"/>
      <w:r>
        <w:t>, Pantone 4695 C</w:t>
      </w:r>
    </w:p>
    <w:p w14:paraId="01400C84" w14:textId="77777777" w:rsidR="001E4EB1" w:rsidRPr="00D50840" w:rsidRDefault="009D7B1E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proofErr w:type="gramStart"/>
      <w:r>
        <w:t>granny</w:t>
      </w:r>
      <w:proofErr w:type="gramEnd"/>
      <w:r>
        <w:t>, Pantone 370 C</w:t>
      </w:r>
    </w:p>
    <w:p w14:paraId="112CD55F" w14:textId="77777777" w:rsidR="001E4EB1" w:rsidRDefault="001E4EB1" w:rsidP="001E4EB1">
      <w:pPr>
        <w:suppressAutoHyphens/>
        <w:ind w:left="709" w:right="3402" w:firstLine="142"/>
        <w:rPr>
          <w:rFonts w:ascii="Arial" w:hAnsi="Arial"/>
          <w:lang w:val="en-US"/>
        </w:rPr>
      </w:pPr>
    </w:p>
    <w:p w14:paraId="000267B1" w14:textId="77777777" w:rsidR="001E4EB1" w:rsidRDefault="009D7B1E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Stratifiés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dans l’un des plus de 180 décors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« </w:t>
      </w:r>
      <w:proofErr w:type="spellStart"/>
      <w:r>
        <w:rPr>
          <w:rFonts w:ascii="Arial" w:hAnsi="Arial"/>
        </w:rPr>
        <w:t>Colours</w:t>
      </w:r>
      <w:proofErr w:type="spellEnd"/>
      <w:r>
        <w:rPr>
          <w:rFonts w:ascii="Arial" w:hAnsi="Arial"/>
        </w:rPr>
        <w:t> » ou « Woods »</w:t>
      </w:r>
    </w:p>
    <w:p w14:paraId="7750AD64" w14:textId="77777777" w:rsidR="000808D7" w:rsidRDefault="000808D7" w:rsidP="000808D7">
      <w:pPr>
        <w:suppressAutoHyphens/>
        <w:ind w:right="3402"/>
        <w:rPr>
          <w:rFonts w:ascii="Arial" w:hAnsi="Arial"/>
        </w:rPr>
      </w:pPr>
    </w:p>
    <w:p w14:paraId="6D18C917" w14:textId="77777777" w:rsidR="000808D7" w:rsidRDefault="009D7B1E" w:rsidP="000808D7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Niveau constant pour assiettes </w:t>
      </w:r>
      <w:r w:rsidR="003A2000">
        <w:rPr>
          <w:rFonts w:ascii="Arial" w:hAnsi="Arial"/>
        </w:rPr>
        <w:br/>
      </w:r>
      <w:r>
        <w:rPr>
          <w:rFonts w:ascii="Arial" w:hAnsi="Arial"/>
        </w:rPr>
        <w:t xml:space="preserve">TSE-H1 18-33 ET : 684 pour service de soupe. Le niveau constant pour assiettes est monté sur le côté opposé à la casserole à soupe. En cas de niveau constant pour assiettes intégré, un habillage frontal doit être sélectionné pour le côté client et le côté commande. </w:t>
      </w:r>
    </w:p>
    <w:p w14:paraId="6AE77768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4CDCBAF4" w14:textId="77777777" w:rsidR="008E27E7" w:rsidRDefault="009D7B1E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Glissière pour plateaux en tube rond d’acier inoxydable (diamètre 25 mm) côté client et/ou côté commande, rabattable. À hauteur 885 mm ou à hauteur réduite (785 mm) pour la restauration des enfants.</w:t>
      </w:r>
    </w:p>
    <w:p w14:paraId="4AFD0B51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68A7F2BF" w14:textId="77777777" w:rsidR="007B52F9" w:rsidRDefault="009D7B1E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Glissière pour plateaux en tôle d’acier inoxydable côté client et/ou côté commande, rabattable. À hauteur 885 mm ou à hauteur réduite (785 mm) pour la restauration des enfants.</w:t>
      </w:r>
    </w:p>
    <w:p w14:paraId="0E187ECD" w14:textId="77777777" w:rsidR="008E27E7" w:rsidRDefault="008E27E7" w:rsidP="008E27E7">
      <w:pPr>
        <w:pStyle w:val="Listenabsatz"/>
        <w:rPr>
          <w:rFonts w:ascii="Arial" w:hAnsi="Arial"/>
        </w:rPr>
      </w:pPr>
    </w:p>
    <w:p w14:paraId="5CC54A26" w14:textId="77777777" w:rsidR="007B52F9" w:rsidRDefault="009D7B1E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Glissière pour plateaux en plaque de contreplaqué, revêtue de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>, côté client et/ou côté commande, rabattable. À hauteur 885 mm ou à hauteur réduite (785 mm) pour la restauration des enfants.</w:t>
      </w:r>
    </w:p>
    <w:p w14:paraId="17BA7F2E" w14:textId="77777777" w:rsidR="00DE683D" w:rsidRDefault="00DE683D" w:rsidP="00DE683D">
      <w:pPr>
        <w:pStyle w:val="Listenabsatz"/>
        <w:rPr>
          <w:rFonts w:ascii="Arial" w:hAnsi="Arial"/>
        </w:rPr>
      </w:pPr>
    </w:p>
    <w:p w14:paraId="68ADC659" w14:textId="77777777" w:rsidR="00DE683D" w:rsidRDefault="009D7B1E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Glissière pour assiettes en tôle d’acier inoxydable côté client et/ou côté commande, rabattable. A fleur avec le recouvrement à hauteur de 900 </w:t>
      </w:r>
      <w:proofErr w:type="spellStart"/>
      <w:r>
        <w:rPr>
          <w:rFonts w:ascii="Arial" w:hAnsi="Arial"/>
        </w:rPr>
        <w:t>mm.</w:t>
      </w:r>
      <w:proofErr w:type="spellEnd"/>
    </w:p>
    <w:p w14:paraId="6D9F3ED6" w14:textId="77777777" w:rsidR="00DE683D" w:rsidRDefault="00DE683D" w:rsidP="00DE683D">
      <w:pPr>
        <w:pStyle w:val="Listenabsatz"/>
        <w:rPr>
          <w:rFonts w:ascii="Arial" w:hAnsi="Arial"/>
        </w:rPr>
      </w:pPr>
    </w:p>
    <w:p w14:paraId="113A9746" w14:textId="77777777" w:rsidR="00DE683D" w:rsidRPr="00DE683D" w:rsidRDefault="009D7B1E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Glissière pour assiettes en plaque de contreplaqué, revêtue de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>, côté client et/ou côté commande, rabattable. A fleur avec le recouvrement à hauteur de 900 </w:t>
      </w:r>
      <w:proofErr w:type="spellStart"/>
      <w:r>
        <w:rPr>
          <w:rFonts w:ascii="Arial" w:hAnsi="Arial"/>
        </w:rPr>
        <w:t>mm.</w:t>
      </w:r>
      <w:proofErr w:type="spellEnd"/>
    </w:p>
    <w:p w14:paraId="0FCA11E7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561D8A9B" w14:textId="77777777" w:rsidR="008E27E7" w:rsidRDefault="009D7B1E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Tablette en tube rond d’acier inoxydable (diamètre de tube 25 mm) sur le petit côté à droite et/ou à gauche, rabattable. À hauteur </w:t>
      </w:r>
      <w:r>
        <w:rPr>
          <w:rFonts w:ascii="Arial" w:hAnsi="Arial"/>
        </w:rPr>
        <w:lastRenderedPageBreak/>
        <w:t>885 mm ou à hauteur réduite (785 mm) pour la restauration des enfants.</w:t>
      </w:r>
    </w:p>
    <w:p w14:paraId="465B4548" w14:textId="77777777" w:rsidR="002949FF" w:rsidRDefault="002949FF" w:rsidP="002949FF">
      <w:pPr>
        <w:pStyle w:val="Listenabsatz"/>
        <w:rPr>
          <w:rFonts w:ascii="Arial" w:hAnsi="Arial"/>
        </w:rPr>
      </w:pPr>
    </w:p>
    <w:p w14:paraId="367DC75B" w14:textId="77777777" w:rsidR="002949FF" w:rsidRDefault="009D7B1E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Tablette en tôle d’acier inoxydable sur le petit côté à droite et/ou à gauche, rabattable. À fleur avec le recouvrement (900 mm) ou à hauteur 885 mm ou à hauteur réduite (785 mm) pour la restauration des enfants.</w:t>
      </w:r>
    </w:p>
    <w:p w14:paraId="1255ACA0" w14:textId="77777777" w:rsidR="00C033DE" w:rsidRDefault="00C033DE" w:rsidP="00C033DE">
      <w:pPr>
        <w:pStyle w:val="Listenabsatz"/>
        <w:rPr>
          <w:rFonts w:ascii="Arial" w:hAnsi="Arial"/>
        </w:rPr>
      </w:pPr>
    </w:p>
    <w:p w14:paraId="7BCC434C" w14:textId="77777777" w:rsidR="00C033DE" w:rsidRDefault="009D7B1E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Tablette en plaque de contreplaqué, revêtue de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>, sur le petit côté à droite et/ou à gauche, rabattable. À fleur avec le recouvrement (900 mm) ou à hauteur 885 mm ou à hauteur réduite (785 mm) pour la restauration des enfants.</w:t>
      </w:r>
    </w:p>
    <w:p w14:paraId="663EBE42" w14:textId="77777777" w:rsidR="002E112E" w:rsidRDefault="002E112E" w:rsidP="002E112E">
      <w:pPr>
        <w:pStyle w:val="Listenabsatz"/>
        <w:rPr>
          <w:rFonts w:ascii="Arial" w:hAnsi="Arial"/>
        </w:rPr>
      </w:pPr>
    </w:p>
    <w:p w14:paraId="1015C95D" w14:textId="77777777" w:rsidR="002E112E" w:rsidRDefault="009D7B1E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Recouvrement du bandeau de commande. Pour le recouvrement des interrupteurs et éléments de commande</w:t>
      </w:r>
    </w:p>
    <w:p w14:paraId="2EDAB107" w14:textId="77777777" w:rsidR="003E3C32" w:rsidRDefault="003E3C32" w:rsidP="00C46AC0">
      <w:pPr>
        <w:pStyle w:val="Listenabsatz"/>
        <w:ind w:left="0"/>
        <w:rPr>
          <w:rFonts w:ascii="Arial" w:hAnsi="Arial"/>
        </w:rPr>
      </w:pPr>
    </w:p>
    <w:p w14:paraId="16C634E2" w14:textId="77777777" w:rsidR="003E3C32" w:rsidRPr="00192718" w:rsidRDefault="009D7B1E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Raccordement électrique avec fiche CEE 16</w:t>
      </w:r>
      <w:r w:rsidR="003A2000">
        <w:rPr>
          <w:rFonts w:ascii="Arial" w:hAnsi="Arial"/>
        </w:rPr>
        <w:t> </w:t>
      </w:r>
      <w:r>
        <w:rPr>
          <w:rFonts w:ascii="Arial" w:hAnsi="Arial"/>
        </w:rPr>
        <w:t>A 400 V</w:t>
      </w:r>
    </w:p>
    <w:p w14:paraId="4CE785B0" w14:textId="77777777" w:rsidR="00C60D1D" w:rsidRDefault="00C60D1D" w:rsidP="00C60D1D">
      <w:pPr>
        <w:pStyle w:val="Listenabsatz"/>
        <w:rPr>
          <w:rFonts w:ascii="Arial" w:hAnsi="Arial"/>
        </w:rPr>
      </w:pPr>
    </w:p>
    <w:p w14:paraId="690084A1" w14:textId="77777777" w:rsidR="00C60D1D" w:rsidRDefault="009D7B1E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Plancher de base en acier inoxydable, par exemple pour le placement de </w:t>
      </w:r>
      <w:proofErr w:type="gramStart"/>
      <w:r w:rsidR="00B52FC8" w:rsidRPr="00B52FC8">
        <w:rPr>
          <w:rFonts w:ascii="Arial" w:hAnsi="Arial"/>
        </w:rPr>
        <w:t>B.PROTHERM</w:t>
      </w:r>
      <w:proofErr w:type="gramEnd"/>
      <w:r>
        <w:rPr>
          <w:rFonts w:ascii="Arial" w:hAnsi="Arial"/>
        </w:rPr>
        <w:t xml:space="preserve"> </w:t>
      </w:r>
      <w:r w:rsidR="00B52FC8" w:rsidRPr="00B52FC8">
        <w:rPr>
          <w:rFonts w:ascii="Arial" w:hAnsi="Arial"/>
        </w:rPr>
        <w:t>BPT</w:t>
      </w:r>
      <w:r>
        <w:rPr>
          <w:rFonts w:ascii="Arial" w:hAnsi="Arial"/>
        </w:rPr>
        <w:t xml:space="preserve"> 420 K / KBUH / KBRUH</w:t>
      </w:r>
    </w:p>
    <w:p w14:paraId="53ED1092" w14:textId="77777777" w:rsidR="00460AF8" w:rsidRDefault="00460AF8" w:rsidP="00460AF8">
      <w:pPr>
        <w:pStyle w:val="Listenabsatz"/>
        <w:rPr>
          <w:rFonts w:ascii="Arial" w:hAnsi="Arial"/>
        </w:rPr>
      </w:pPr>
    </w:p>
    <w:p w14:paraId="48A18316" w14:textId="77777777" w:rsidR="00460AF8" w:rsidRDefault="009D7B1E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Jeu de liaison entre modules pour la liaison fixe de deux buffets, avec bandeau profilé pour le recouvrement de la fente entre deux modules</w:t>
      </w:r>
    </w:p>
    <w:p w14:paraId="772EB8DB" w14:textId="77777777" w:rsidR="003E3C32" w:rsidRDefault="003E3C32" w:rsidP="003E3C32">
      <w:pPr>
        <w:pStyle w:val="Listenabsatz"/>
        <w:rPr>
          <w:rFonts w:ascii="Arial" w:hAnsi="Arial"/>
        </w:rPr>
      </w:pPr>
    </w:p>
    <w:p w14:paraId="5676AFE7" w14:textId="77777777" w:rsidR="003E3C32" w:rsidRPr="00C21A08" w:rsidRDefault="009D7B1E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Roues en acier inoxydable diamètre 125 mm, 4 roues pivotantes dont 2 avec frein</w:t>
      </w:r>
      <w:r w:rsidR="00F91975">
        <w:rPr>
          <w:rFonts w:ascii="Arial" w:hAnsi="Arial"/>
        </w:rPr>
        <w:t>.</w:t>
      </w:r>
      <w:r>
        <w:rPr>
          <w:rFonts w:ascii="Arial" w:hAnsi="Arial"/>
        </w:rPr>
        <w:t xml:space="preserve"> La hauteur totale augmente de 60 mm, la hauteur du soubassement est alors de 960 mm</w:t>
      </w:r>
    </w:p>
    <w:p w14:paraId="224724FC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1E6298E3" w14:textId="77777777" w:rsidR="002949FF" w:rsidRDefault="009D7B1E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Pieds réglables en acier inoxydable (au lieu de roues)</w:t>
      </w:r>
    </w:p>
    <w:p w14:paraId="478FFEED" w14:textId="77777777" w:rsidR="002949FF" w:rsidRDefault="002949FF" w:rsidP="002949FF">
      <w:pPr>
        <w:pStyle w:val="Listenabsatz"/>
        <w:rPr>
          <w:rFonts w:ascii="Arial" w:hAnsi="Arial"/>
        </w:rPr>
      </w:pPr>
    </w:p>
    <w:p w14:paraId="7A33A85B" w14:textId="77777777" w:rsidR="002949FF" w:rsidRDefault="009D7B1E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Plinthes en acier inoxydable côté client/sur le petit côté à droite/à gauche (à commander uniquement en liaison avec des pieds réglables)</w:t>
      </w:r>
    </w:p>
    <w:p w14:paraId="2ACE983B" w14:textId="77777777" w:rsidR="00062E01" w:rsidRPr="00D50840" w:rsidRDefault="00062E01" w:rsidP="008077FB">
      <w:pPr>
        <w:suppressAutoHyphens/>
        <w:ind w:right="3402"/>
        <w:rPr>
          <w:rFonts w:ascii="Arial" w:hAnsi="Arial"/>
          <w:lang w:val="en-US"/>
        </w:rPr>
      </w:pPr>
    </w:p>
    <w:p w14:paraId="52B2DBEF" w14:textId="77777777" w:rsidR="00853EF0" w:rsidRPr="008077FB" w:rsidRDefault="003A2000" w:rsidP="00B12139">
      <w:pPr>
        <w:ind w:right="3402"/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br w:type="column"/>
      </w:r>
      <w:r w:rsidR="009D7B1E">
        <w:rPr>
          <w:rFonts w:ascii="Arial" w:hAnsi="Arial"/>
          <w:b/>
          <w:u w:val="single"/>
        </w:rPr>
        <w:lastRenderedPageBreak/>
        <w:t>Caractéristiques techniques :</w:t>
      </w:r>
    </w:p>
    <w:p w14:paraId="32AC4B1F" w14:textId="77777777" w:rsidR="002B5F28" w:rsidRPr="00205985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en-US"/>
        </w:rPr>
      </w:pPr>
    </w:p>
    <w:p w14:paraId="16CAC24D" w14:textId="77777777" w:rsidR="002B5F28" w:rsidRPr="00EC6454" w:rsidRDefault="009D7B1E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Matériau :</w:t>
      </w:r>
      <w:r>
        <w:rPr>
          <w:rFonts w:ascii="Arial" w:hAnsi="Arial"/>
        </w:rPr>
        <w:tab/>
        <w:t xml:space="preserve">Acier inoxydable (AISI 304) </w:t>
      </w:r>
      <w:proofErr w:type="spellStart"/>
      <w:r>
        <w:rPr>
          <w:rFonts w:ascii="Arial" w:hAnsi="Arial"/>
        </w:rPr>
        <w:t>microlisé</w:t>
      </w:r>
      <w:proofErr w:type="spellEnd"/>
      <w:r>
        <w:rPr>
          <w:rFonts w:ascii="Arial" w:hAnsi="Arial"/>
        </w:rPr>
        <w:t xml:space="preserve"> ; combinaison possible avec tôle fine laquée et galvanisée électrolytiquement des deux côtés. </w:t>
      </w:r>
    </w:p>
    <w:p w14:paraId="7B8CB5DF" w14:textId="77777777" w:rsidR="00380E01" w:rsidRDefault="009D7B1E" w:rsidP="00B12139">
      <w:pPr>
        <w:ind w:right="3402"/>
        <w:rPr>
          <w:rFonts w:ascii="Arial" w:hAnsi="Arial" w:cs="Arial"/>
        </w:rPr>
      </w:pPr>
      <w:r>
        <w:rPr>
          <w:rFonts w:ascii="Arial" w:hAnsi="Arial"/>
        </w:rPr>
        <w:t>Poids :</w:t>
      </w:r>
      <w:r>
        <w:rPr>
          <w:rFonts w:ascii="Arial" w:hAnsi="Arial"/>
        </w:rPr>
        <w:tab/>
      </w:r>
      <w:r>
        <w:rPr>
          <w:rFonts w:ascii="Arial" w:hAnsi="Arial"/>
        </w:rPr>
        <w:tab/>
        <w:t>env. 85 kg (sans options)</w:t>
      </w:r>
    </w:p>
    <w:p w14:paraId="602A2B2A" w14:textId="77777777" w:rsidR="00853EF0" w:rsidRPr="004350FB" w:rsidRDefault="009D7B1E" w:rsidP="00484B5B">
      <w:pPr>
        <w:ind w:right="3402"/>
        <w:rPr>
          <w:rFonts w:ascii="Arial" w:hAnsi="Arial" w:cs="Arial"/>
        </w:rPr>
      </w:pPr>
      <w:r>
        <w:rPr>
          <w:rFonts w:ascii="Arial" w:hAnsi="Arial"/>
        </w:rPr>
        <w:t xml:space="preserve">Valeur de </w:t>
      </w:r>
      <w:r w:rsidR="003A2000">
        <w:rPr>
          <w:rFonts w:ascii="Arial" w:hAnsi="Arial"/>
        </w:rPr>
        <w:br/>
      </w:r>
      <w:r>
        <w:rPr>
          <w:rFonts w:ascii="Arial" w:hAnsi="Arial"/>
        </w:rPr>
        <w:t>raccordement :</w:t>
      </w:r>
      <w:r>
        <w:rPr>
          <w:rFonts w:ascii="Arial" w:hAnsi="Arial"/>
        </w:rPr>
        <w:tab/>
        <w:t xml:space="preserve">230 V / 16 A / 1N PE / 50-60 Hz </w:t>
      </w:r>
    </w:p>
    <w:p w14:paraId="4CC6CD8A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01C7F477" w14:textId="77777777" w:rsidR="00C04762" w:rsidRDefault="009D7B1E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La valeur de raccordement du module dépend des accessoires en option.</w:t>
      </w:r>
    </w:p>
    <w:p w14:paraId="6EFA17B9" w14:textId="77777777" w:rsidR="00C21A08" w:rsidRDefault="00C21A08" w:rsidP="00B12139">
      <w:pPr>
        <w:suppressAutoHyphens/>
        <w:ind w:right="3402"/>
        <w:rPr>
          <w:rFonts w:ascii="Arial" w:hAnsi="Arial"/>
          <w:b/>
        </w:rPr>
      </w:pPr>
    </w:p>
    <w:p w14:paraId="0B6D11A5" w14:textId="77777777" w:rsidR="00C04762" w:rsidRDefault="00C04762" w:rsidP="00B12139">
      <w:pPr>
        <w:suppressAutoHyphens/>
        <w:ind w:right="3402"/>
        <w:rPr>
          <w:rFonts w:ascii="Arial" w:hAnsi="Arial"/>
          <w:b/>
        </w:rPr>
      </w:pPr>
    </w:p>
    <w:p w14:paraId="724A8DAD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312A2288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387B7879" w14:textId="77777777" w:rsidR="008077FB" w:rsidRPr="008077FB" w:rsidRDefault="009D7B1E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Particularités :</w:t>
      </w:r>
    </w:p>
    <w:p w14:paraId="73C99538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176E6854" w14:textId="77777777" w:rsidR="00A714DE" w:rsidRDefault="009D7B1E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Grande casserole à soupe de 10 l, installation au choix à gauche ou à droite côté commande</w:t>
      </w:r>
    </w:p>
    <w:p w14:paraId="01A5100C" w14:textId="77777777" w:rsidR="00613713" w:rsidRDefault="009D7B1E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Niveau constant pour assiettes en option </w:t>
      </w:r>
      <w:r w:rsidR="00845783">
        <w:rPr>
          <w:rFonts w:ascii="Arial" w:hAnsi="Arial"/>
        </w:rPr>
        <w:br/>
      </w:r>
      <w:r>
        <w:rPr>
          <w:rFonts w:ascii="Arial" w:hAnsi="Arial"/>
        </w:rPr>
        <w:t>TSE-H1 18-33 ET : 684 pour bols de soupe</w:t>
      </w:r>
    </w:p>
    <w:p w14:paraId="3465524F" w14:textId="77777777" w:rsidR="00BB6322" w:rsidRDefault="009D7B1E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Surface acier inoxydable </w:t>
      </w:r>
      <w:proofErr w:type="spellStart"/>
      <w:r>
        <w:rPr>
          <w:rFonts w:ascii="Arial" w:hAnsi="Arial"/>
        </w:rPr>
        <w:t>microlisée</w:t>
      </w:r>
      <w:proofErr w:type="spellEnd"/>
    </w:p>
    <w:p w14:paraId="2E137226" w14:textId="77777777" w:rsidR="008077FB" w:rsidRDefault="009D7B1E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Glissières pour plateaux et assiettes rabattables en tube rond d’acier inoxydable, tôle d’acier inoxydable et contreplaqué avec revêtement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>.</w:t>
      </w:r>
    </w:p>
    <w:p w14:paraId="3B0EEBCB" w14:textId="77777777" w:rsidR="008077FB" w:rsidRDefault="009D7B1E" w:rsidP="00B1213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Vaste choix de jeux de couleurs et nombreuses possibilités d’individualisation </w:t>
      </w:r>
    </w:p>
    <w:p w14:paraId="46788D9F" w14:textId="77777777" w:rsidR="00BC3926" w:rsidRPr="00BC3926" w:rsidRDefault="00BC3926" w:rsidP="00BC3926">
      <w:pPr>
        <w:suppressAutoHyphens/>
        <w:ind w:left="720" w:right="3402"/>
        <w:rPr>
          <w:rFonts w:ascii="Arial" w:hAnsi="Arial"/>
        </w:rPr>
      </w:pPr>
    </w:p>
    <w:p w14:paraId="19DDD7D8" w14:textId="77777777" w:rsidR="00B34498" w:rsidRPr="008077FB" w:rsidRDefault="009D7B1E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Marque :</w:t>
      </w:r>
    </w:p>
    <w:p w14:paraId="6EAE2D18" w14:textId="77777777" w:rsidR="00B34498" w:rsidRPr="000D49F8" w:rsidRDefault="00B34498" w:rsidP="00B12139">
      <w:pPr>
        <w:suppressAutoHyphens/>
        <w:ind w:right="3402"/>
        <w:rPr>
          <w:rFonts w:ascii="Arial" w:hAnsi="Arial"/>
        </w:rPr>
      </w:pPr>
    </w:p>
    <w:p w14:paraId="2B04D154" w14:textId="77777777" w:rsidR="00B34498" w:rsidRPr="000D49F8" w:rsidRDefault="009D7B1E" w:rsidP="00931048">
      <w:pPr>
        <w:suppressAutoHyphens/>
        <w:ind w:left="2124" w:right="3402" w:hanging="2124"/>
        <w:rPr>
          <w:rFonts w:ascii="Arial" w:hAnsi="Arial"/>
        </w:rPr>
      </w:pPr>
      <w:r>
        <w:rPr>
          <w:rFonts w:ascii="Arial" w:hAnsi="Arial"/>
        </w:rPr>
        <w:t>Fabricant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52FC8" w:rsidRPr="00B52FC8">
        <w:rPr>
          <w:rFonts w:ascii="Arial" w:hAnsi="Arial"/>
        </w:rPr>
        <w:t>B.PRO</w:t>
      </w:r>
    </w:p>
    <w:p w14:paraId="72DF54A9" w14:textId="77777777" w:rsidR="00B34498" w:rsidRPr="003E4C77" w:rsidRDefault="009D7B1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Type 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BASIC LINE S-4</w:t>
      </w:r>
    </w:p>
    <w:p w14:paraId="7CBFCCBB" w14:textId="77777777" w:rsidR="001E4EB1" w:rsidRPr="003E4C77" w:rsidRDefault="009D7B1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Référence 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381 892</w:t>
      </w:r>
    </w:p>
    <w:sectPr w:rsidR="001E4EB1" w:rsidRPr="003E4C77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B0328" w14:textId="77777777" w:rsidR="00E85706" w:rsidRDefault="00E85706">
      <w:r>
        <w:separator/>
      </w:r>
    </w:p>
  </w:endnote>
  <w:endnote w:type="continuationSeparator" w:id="0">
    <w:p w14:paraId="5163E552" w14:textId="77777777" w:rsidR="00E85706" w:rsidRDefault="00E8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B19F8" w14:textId="77777777" w:rsidR="00F059E3" w:rsidRPr="003E4C77" w:rsidRDefault="009D7B1E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Texte de cahier des charges BASIC LINE S-4 / Version 1.0 / P. Hilpp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Page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3E4C77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FB68E0">
      <w:rPr>
        <w:rStyle w:val="Seitenzahl"/>
        <w:rFonts w:ascii="Arial" w:hAnsi="Arial" w:cs="Arial"/>
        <w:noProof/>
        <w:sz w:val="16"/>
        <w:szCs w:val="16"/>
      </w:rPr>
      <w:t>5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 xml:space="preserve"> sur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3E4C77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FB68E0">
      <w:rPr>
        <w:rStyle w:val="Seitenzahl"/>
        <w:rFonts w:ascii="Arial" w:hAnsi="Arial" w:cs="Arial"/>
        <w:noProof/>
        <w:sz w:val="16"/>
        <w:szCs w:val="16"/>
      </w:rPr>
      <w:t>5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E0D27" w14:textId="77777777" w:rsidR="00E85706" w:rsidRDefault="00E85706">
      <w:r>
        <w:separator/>
      </w:r>
    </w:p>
  </w:footnote>
  <w:footnote w:type="continuationSeparator" w:id="0">
    <w:p w14:paraId="03CD3FD8" w14:textId="77777777" w:rsidR="00E85706" w:rsidRDefault="00E8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56C"/>
    <w:multiLevelType w:val="hybridMultilevel"/>
    <w:tmpl w:val="00147710"/>
    <w:lvl w:ilvl="0" w:tplc="C0DC66A2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F3A6C45A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28AEF31E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84D8D768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4B0C81F6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5450E150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423682F8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FA40EC54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19E6DE82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7D0A52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C4E7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4A4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587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614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EC71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449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E408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443D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A05C6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54E3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84AF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47E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EA3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5E66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6EE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E58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03F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C8F6F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8DE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268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8297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F62B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84A4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98A5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EEDD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60F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D5E8B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1040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36C6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4803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5AFC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743C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BEF1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C4F3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9E25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5BAE8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166B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78BF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66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38D5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5C8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44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52FF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206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2BA22F38"/>
    <w:lvl w:ilvl="0" w:tplc="F8EAB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90EF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8669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7A4F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657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E80A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0CF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4A8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C4D5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CB7287E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E10807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60C237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EB49E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7A2BE2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D324C2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D3A105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D94473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538958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E29657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482C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8C3C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749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CC2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C448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BA0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B024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F2F6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19E252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BCB6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143A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DA54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C441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36D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26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32CA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4025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E050E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603D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406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C4A3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F0C3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709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E22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032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24B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88AE0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20B6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B277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FEF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605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C269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025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46E2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8039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2F8EC5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E624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D4F3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2C23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183D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641A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7CA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689E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72F5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341EB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90B4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F06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343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E003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143C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A6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52D8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2A2D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40FC774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8EDCF1C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8C2631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84023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BC4ECA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A0A551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4DA31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9D2AA9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60D2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C1DA678A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B74C88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7076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C645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DC8D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4A0B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9A3D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E1E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1EFC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AF501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6471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080C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E7D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FC0D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26E3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AAB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5EA0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AED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4918B13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152935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50AE53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B86E28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35030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D7E1A3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58AFDB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646297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EA0611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34B21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CEC0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365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241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6AAB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7A9D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9E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2CB4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3278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7465"/>
    <w:rsid w:val="00057595"/>
    <w:rsid w:val="00060B8D"/>
    <w:rsid w:val="00062E01"/>
    <w:rsid w:val="00063E40"/>
    <w:rsid w:val="00073B35"/>
    <w:rsid w:val="000808D7"/>
    <w:rsid w:val="00083B46"/>
    <w:rsid w:val="00094DC8"/>
    <w:rsid w:val="000C10BD"/>
    <w:rsid w:val="000C7497"/>
    <w:rsid w:val="000D0787"/>
    <w:rsid w:val="000D342B"/>
    <w:rsid w:val="000D49F8"/>
    <w:rsid w:val="000E0AC8"/>
    <w:rsid w:val="000F3821"/>
    <w:rsid w:val="001043AC"/>
    <w:rsid w:val="00107F96"/>
    <w:rsid w:val="00120239"/>
    <w:rsid w:val="00123F63"/>
    <w:rsid w:val="00140DE9"/>
    <w:rsid w:val="00141FD5"/>
    <w:rsid w:val="00142499"/>
    <w:rsid w:val="001606A4"/>
    <w:rsid w:val="00163B3F"/>
    <w:rsid w:val="001651CE"/>
    <w:rsid w:val="001750E0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5985"/>
    <w:rsid w:val="00206C62"/>
    <w:rsid w:val="00222607"/>
    <w:rsid w:val="00240573"/>
    <w:rsid w:val="002430A8"/>
    <w:rsid w:val="0026332F"/>
    <w:rsid w:val="00264496"/>
    <w:rsid w:val="00282708"/>
    <w:rsid w:val="00283893"/>
    <w:rsid w:val="00283F54"/>
    <w:rsid w:val="002949FF"/>
    <w:rsid w:val="002972A7"/>
    <w:rsid w:val="002A2FAD"/>
    <w:rsid w:val="002B5F28"/>
    <w:rsid w:val="002C1E20"/>
    <w:rsid w:val="002E112E"/>
    <w:rsid w:val="002F728D"/>
    <w:rsid w:val="00312846"/>
    <w:rsid w:val="00314EF5"/>
    <w:rsid w:val="0031745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6204A"/>
    <w:rsid w:val="0037137F"/>
    <w:rsid w:val="0037712D"/>
    <w:rsid w:val="00380E01"/>
    <w:rsid w:val="0038383C"/>
    <w:rsid w:val="00396B21"/>
    <w:rsid w:val="00396BB0"/>
    <w:rsid w:val="003A2000"/>
    <w:rsid w:val="003A3C3A"/>
    <w:rsid w:val="003A5A20"/>
    <w:rsid w:val="003E053D"/>
    <w:rsid w:val="003E1010"/>
    <w:rsid w:val="003E3C32"/>
    <w:rsid w:val="003E4C77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60AF8"/>
    <w:rsid w:val="00463D93"/>
    <w:rsid w:val="004730A7"/>
    <w:rsid w:val="004757B7"/>
    <w:rsid w:val="00481D41"/>
    <w:rsid w:val="00484B5B"/>
    <w:rsid w:val="00487658"/>
    <w:rsid w:val="00495FF5"/>
    <w:rsid w:val="00497A63"/>
    <w:rsid w:val="004A0C41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33B41"/>
    <w:rsid w:val="0054632E"/>
    <w:rsid w:val="00547211"/>
    <w:rsid w:val="00560D68"/>
    <w:rsid w:val="0056274A"/>
    <w:rsid w:val="0056384E"/>
    <w:rsid w:val="00583770"/>
    <w:rsid w:val="005B6DA5"/>
    <w:rsid w:val="005C48D9"/>
    <w:rsid w:val="005D06F9"/>
    <w:rsid w:val="005D5A1C"/>
    <w:rsid w:val="005D680E"/>
    <w:rsid w:val="005E2E5D"/>
    <w:rsid w:val="005E36D7"/>
    <w:rsid w:val="00607713"/>
    <w:rsid w:val="006102E2"/>
    <w:rsid w:val="00613713"/>
    <w:rsid w:val="00626D46"/>
    <w:rsid w:val="0064209A"/>
    <w:rsid w:val="00660A21"/>
    <w:rsid w:val="0067244C"/>
    <w:rsid w:val="006824D4"/>
    <w:rsid w:val="00686341"/>
    <w:rsid w:val="00694063"/>
    <w:rsid w:val="006B19D7"/>
    <w:rsid w:val="006C215C"/>
    <w:rsid w:val="006E1FBF"/>
    <w:rsid w:val="006E2527"/>
    <w:rsid w:val="006F0662"/>
    <w:rsid w:val="00704110"/>
    <w:rsid w:val="00704B70"/>
    <w:rsid w:val="00706D27"/>
    <w:rsid w:val="00707E18"/>
    <w:rsid w:val="00721D6F"/>
    <w:rsid w:val="00746109"/>
    <w:rsid w:val="00750398"/>
    <w:rsid w:val="007751AF"/>
    <w:rsid w:val="007A7EF0"/>
    <w:rsid w:val="007B2507"/>
    <w:rsid w:val="007B52F9"/>
    <w:rsid w:val="007D434B"/>
    <w:rsid w:val="007D5149"/>
    <w:rsid w:val="007F63C0"/>
    <w:rsid w:val="008045CE"/>
    <w:rsid w:val="00805BB3"/>
    <w:rsid w:val="008077FB"/>
    <w:rsid w:val="00820712"/>
    <w:rsid w:val="008242C3"/>
    <w:rsid w:val="008367F4"/>
    <w:rsid w:val="0084464A"/>
    <w:rsid w:val="00845783"/>
    <w:rsid w:val="00846C86"/>
    <w:rsid w:val="00853EF0"/>
    <w:rsid w:val="00862DEE"/>
    <w:rsid w:val="0086524F"/>
    <w:rsid w:val="00865639"/>
    <w:rsid w:val="00867321"/>
    <w:rsid w:val="008B0C8F"/>
    <w:rsid w:val="008C65C9"/>
    <w:rsid w:val="008E27E7"/>
    <w:rsid w:val="008E39C0"/>
    <w:rsid w:val="00903B6D"/>
    <w:rsid w:val="00931048"/>
    <w:rsid w:val="00964800"/>
    <w:rsid w:val="00991A0A"/>
    <w:rsid w:val="009A2BA1"/>
    <w:rsid w:val="009B3C32"/>
    <w:rsid w:val="009C76E6"/>
    <w:rsid w:val="009D5F31"/>
    <w:rsid w:val="009D7B1E"/>
    <w:rsid w:val="009E05A0"/>
    <w:rsid w:val="009E42FC"/>
    <w:rsid w:val="009F6F05"/>
    <w:rsid w:val="00A0459E"/>
    <w:rsid w:val="00A21D97"/>
    <w:rsid w:val="00A67591"/>
    <w:rsid w:val="00A714DE"/>
    <w:rsid w:val="00A837E2"/>
    <w:rsid w:val="00A847B3"/>
    <w:rsid w:val="00A92062"/>
    <w:rsid w:val="00A95B3C"/>
    <w:rsid w:val="00AA1774"/>
    <w:rsid w:val="00AB6EBE"/>
    <w:rsid w:val="00AF6F19"/>
    <w:rsid w:val="00B048DE"/>
    <w:rsid w:val="00B1210B"/>
    <w:rsid w:val="00B12139"/>
    <w:rsid w:val="00B16B91"/>
    <w:rsid w:val="00B34498"/>
    <w:rsid w:val="00B42FB8"/>
    <w:rsid w:val="00B50D0C"/>
    <w:rsid w:val="00B52FC8"/>
    <w:rsid w:val="00B65A1D"/>
    <w:rsid w:val="00B65C21"/>
    <w:rsid w:val="00B76EF0"/>
    <w:rsid w:val="00BA6268"/>
    <w:rsid w:val="00BB33CB"/>
    <w:rsid w:val="00BB6322"/>
    <w:rsid w:val="00BC0B06"/>
    <w:rsid w:val="00BC3926"/>
    <w:rsid w:val="00BD029A"/>
    <w:rsid w:val="00BD55D3"/>
    <w:rsid w:val="00C00BF9"/>
    <w:rsid w:val="00C033DE"/>
    <w:rsid w:val="00C03883"/>
    <w:rsid w:val="00C04762"/>
    <w:rsid w:val="00C16922"/>
    <w:rsid w:val="00C2054F"/>
    <w:rsid w:val="00C21A08"/>
    <w:rsid w:val="00C31CEE"/>
    <w:rsid w:val="00C34C91"/>
    <w:rsid w:val="00C35B88"/>
    <w:rsid w:val="00C3679B"/>
    <w:rsid w:val="00C37002"/>
    <w:rsid w:val="00C46AC0"/>
    <w:rsid w:val="00C60B01"/>
    <w:rsid w:val="00C60D1D"/>
    <w:rsid w:val="00C77600"/>
    <w:rsid w:val="00C912B2"/>
    <w:rsid w:val="00C921B5"/>
    <w:rsid w:val="00C944FB"/>
    <w:rsid w:val="00CA129A"/>
    <w:rsid w:val="00CA15DC"/>
    <w:rsid w:val="00CB12E3"/>
    <w:rsid w:val="00CB1C47"/>
    <w:rsid w:val="00CB5EFC"/>
    <w:rsid w:val="00CE04B2"/>
    <w:rsid w:val="00CE2A67"/>
    <w:rsid w:val="00D441B4"/>
    <w:rsid w:val="00D4440E"/>
    <w:rsid w:val="00D50840"/>
    <w:rsid w:val="00D51B0A"/>
    <w:rsid w:val="00D52203"/>
    <w:rsid w:val="00D55096"/>
    <w:rsid w:val="00D83EFC"/>
    <w:rsid w:val="00D922E2"/>
    <w:rsid w:val="00D93D78"/>
    <w:rsid w:val="00D9465E"/>
    <w:rsid w:val="00D96586"/>
    <w:rsid w:val="00DA7AAB"/>
    <w:rsid w:val="00DD46F0"/>
    <w:rsid w:val="00DE683D"/>
    <w:rsid w:val="00DF2EBD"/>
    <w:rsid w:val="00E048F3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107C"/>
    <w:rsid w:val="00E73CB0"/>
    <w:rsid w:val="00E85706"/>
    <w:rsid w:val="00E96E22"/>
    <w:rsid w:val="00EA21FC"/>
    <w:rsid w:val="00EA7C9B"/>
    <w:rsid w:val="00EC06A2"/>
    <w:rsid w:val="00EC6454"/>
    <w:rsid w:val="00ED4F7B"/>
    <w:rsid w:val="00ED6855"/>
    <w:rsid w:val="00EE6947"/>
    <w:rsid w:val="00F059E3"/>
    <w:rsid w:val="00F23A4C"/>
    <w:rsid w:val="00F30DCE"/>
    <w:rsid w:val="00F36425"/>
    <w:rsid w:val="00F45E59"/>
    <w:rsid w:val="00F4782B"/>
    <w:rsid w:val="00F561E3"/>
    <w:rsid w:val="00F60B7A"/>
    <w:rsid w:val="00F624FF"/>
    <w:rsid w:val="00F63CE3"/>
    <w:rsid w:val="00F81B0D"/>
    <w:rsid w:val="00F82686"/>
    <w:rsid w:val="00F91975"/>
    <w:rsid w:val="00F927A5"/>
    <w:rsid w:val="00F975A1"/>
    <w:rsid w:val="00FA1186"/>
    <w:rsid w:val="00FA31E4"/>
    <w:rsid w:val="00FB2281"/>
    <w:rsid w:val="00FB68E0"/>
    <w:rsid w:val="00FD33B7"/>
    <w:rsid w:val="00FD6640"/>
    <w:rsid w:val="00FD7188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EFEEBD"/>
  <w15:chartTrackingRefBased/>
  <w15:docId w15:val="{131546BE-7DB8-4984-8A80-5595F2C9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fr-FR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fr-FR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891</Words>
  <Characters>5617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Herzberger, Monika</cp:lastModifiedBy>
  <cp:revision>2</cp:revision>
  <cp:lastPrinted>2015-10-07T13:05:00Z</cp:lastPrinted>
  <dcterms:created xsi:type="dcterms:W3CDTF">2021-10-11T05:44:00Z</dcterms:created>
  <dcterms:modified xsi:type="dcterms:W3CDTF">2021-10-11T05:44:00Z</dcterms:modified>
</cp:coreProperties>
</file>