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9E23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AC051E6" w14:textId="77777777" w:rsidR="003A5A20" w:rsidRPr="00CC2380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US"/>
        </w:rPr>
      </w:pPr>
      <w:r w:rsidRPr="00CC2380">
        <w:rPr>
          <w:rFonts w:ascii="Arial" w:hAnsi="Arial"/>
          <w:b/>
          <w:spacing w:val="-3"/>
          <w:sz w:val="28"/>
          <w:u w:val="single"/>
          <w:lang w:val="en-US"/>
        </w:rPr>
        <w:t xml:space="preserve">BASIC LINE </w:t>
      </w:r>
      <w:r w:rsidR="008B4D60" w:rsidRPr="00CC2380">
        <w:rPr>
          <w:rFonts w:ascii="Arial" w:hAnsi="Arial"/>
          <w:b/>
          <w:spacing w:val="-3"/>
          <w:sz w:val="28"/>
          <w:u w:val="single"/>
          <w:lang w:val="en-US"/>
        </w:rPr>
        <w:t>N-</w:t>
      </w:r>
      <w:proofErr w:type="gramStart"/>
      <w:r w:rsidR="007668DC" w:rsidRPr="00CC2380">
        <w:rPr>
          <w:rFonts w:ascii="Arial" w:hAnsi="Arial"/>
          <w:b/>
          <w:spacing w:val="-3"/>
          <w:sz w:val="28"/>
          <w:u w:val="single"/>
          <w:lang w:val="en-US"/>
        </w:rPr>
        <w:t>V</w:t>
      </w:r>
      <w:r w:rsidR="008B4D60" w:rsidRPr="00CC2380">
        <w:rPr>
          <w:rFonts w:ascii="Arial" w:hAnsi="Arial"/>
          <w:b/>
          <w:spacing w:val="-3"/>
          <w:sz w:val="28"/>
          <w:u w:val="single"/>
          <w:lang w:val="en-US"/>
        </w:rPr>
        <w:t xml:space="preserve">  -</w:t>
      </w:r>
      <w:proofErr w:type="gramEnd"/>
      <w:r w:rsidR="008B4D60" w:rsidRPr="00CC2380">
        <w:rPr>
          <w:rFonts w:ascii="Arial" w:hAnsi="Arial"/>
          <w:b/>
          <w:spacing w:val="-3"/>
          <w:sz w:val="28"/>
          <w:u w:val="single"/>
          <w:lang w:val="en-US"/>
        </w:rPr>
        <w:t xml:space="preserve"> </w:t>
      </w:r>
      <w:proofErr w:type="spellStart"/>
      <w:r w:rsidR="008B4D60" w:rsidRPr="00CC2380">
        <w:rPr>
          <w:rFonts w:ascii="Arial" w:hAnsi="Arial"/>
          <w:b/>
          <w:spacing w:val="-3"/>
          <w:sz w:val="28"/>
          <w:u w:val="single"/>
          <w:lang w:val="en-US"/>
        </w:rPr>
        <w:t>Neutralbuffet</w:t>
      </w:r>
      <w:proofErr w:type="spellEnd"/>
      <w:r w:rsidR="007668DC" w:rsidRPr="00CC2380">
        <w:rPr>
          <w:rFonts w:ascii="Arial" w:hAnsi="Arial"/>
          <w:b/>
          <w:spacing w:val="-3"/>
          <w:sz w:val="28"/>
          <w:u w:val="single"/>
          <w:lang w:val="en-US"/>
        </w:rPr>
        <w:t xml:space="preserve"> </w:t>
      </w:r>
      <w:proofErr w:type="spellStart"/>
      <w:r w:rsidR="007668DC" w:rsidRPr="00CC2380">
        <w:rPr>
          <w:rFonts w:ascii="Arial" w:hAnsi="Arial"/>
          <w:b/>
          <w:spacing w:val="-3"/>
          <w:sz w:val="28"/>
          <w:u w:val="single"/>
          <w:lang w:val="en-US"/>
        </w:rPr>
        <w:t>variabel</w:t>
      </w:r>
      <w:proofErr w:type="spellEnd"/>
    </w:p>
    <w:p w14:paraId="0F12AC57" w14:textId="77777777" w:rsidR="005119FB" w:rsidRPr="00CC238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US"/>
        </w:rPr>
      </w:pPr>
    </w:p>
    <w:p w14:paraId="5A6A3988" w14:textId="77777777" w:rsidR="002E1F4B" w:rsidRPr="00CC2380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US"/>
        </w:rPr>
      </w:pPr>
    </w:p>
    <w:p w14:paraId="382DEB87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54B15AB5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2F1A23A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668DC">
        <w:rPr>
          <w:rFonts w:ascii="Arial" w:hAnsi="Arial"/>
        </w:rPr>
        <w:t>400-1900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7AE9680E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6749CAE2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14F92C3A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362264AB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607CC56B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2DAE76C9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190FB97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B4BBA4B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73368677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DD17E6A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8EB73A9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BC0FB5A" w14:textId="77777777" w:rsidR="002E1F4B" w:rsidRPr="008F6886" w:rsidRDefault="0026332F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 xml:space="preserve">Fahrbares </w:t>
      </w:r>
      <w:r w:rsidR="005E2E5D" w:rsidRPr="008F6886">
        <w:rPr>
          <w:rFonts w:ascii="Arial" w:hAnsi="Arial"/>
        </w:rPr>
        <w:t>Modul,</w:t>
      </w:r>
      <w:r w:rsidR="008045CE" w:rsidRPr="008F6886">
        <w:rPr>
          <w:rFonts w:ascii="Arial" w:hAnsi="Arial"/>
        </w:rPr>
        <w:t xml:space="preserve"> basierend auf einer stabilen, selbst tragenden Blechkonstruktion</w:t>
      </w:r>
      <w:r w:rsidR="002E1F4B" w:rsidRPr="008F6886">
        <w:rPr>
          <w:rFonts w:ascii="Arial" w:hAnsi="Arial"/>
        </w:rPr>
        <w:t>.</w:t>
      </w:r>
      <w:r w:rsidR="005E0ED3">
        <w:rPr>
          <w:rFonts w:ascii="Arial" w:hAnsi="Arial"/>
        </w:rPr>
        <w:t xml:space="preserve"> Modulbreite variabel, frei wählbar zwischen 400-1900mm.</w:t>
      </w:r>
    </w:p>
    <w:p w14:paraId="7577872E" w14:textId="77777777" w:rsidR="008077FB" w:rsidRPr="008F6886" w:rsidRDefault="002E1F4B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>Sofern elektrische Optionen</w:t>
      </w:r>
      <w:r w:rsidR="00763184" w:rsidRPr="008F6886">
        <w:rPr>
          <w:rFonts w:ascii="Arial" w:hAnsi="Arial"/>
        </w:rPr>
        <w:t>/Komponenten</w:t>
      </w:r>
      <w:r w:rsidRPr="008F6886">
        <w:rPr>
          <w:rFonts w:ascii="Arial" w:hAnsi="Arial"/>
        </w:rPr>
        <w:t xml:space="preserve"> konfiguriert werden ist das Modul</w:t>
      </w:r>
      <w:r w:rsidR="0086524F" w:rsidRPr="008F6886">
        <w:rPr>
          <w:rFonts w:ascii="Arial" w:hAnsi="Arial"/>
        </w:rPr>
        <w:t xml:space="preserve"> steckerfertig installiert, mit ca. 2 m langem Anschlusskabel und Stecker</w:t>
      </w:r>
      <w:r w:rsidR="008045CE" w:rsidRPr="008F6886">
        <w:rPr>
          <w:rFonts w:ascii="Arial" w:hAnsi="Arial"/>
        </w:rPr>
        <w:t xml:space="preserve">. </w:t>
      </w:r>
    </w:p>
    <w:p w14:paraId="0589E79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686A40A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464FC3BD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D14F4A9" w14:textId="77777777" w:rsidR="00763184" w:rsidRDefault="0076318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Das Neutralbüffet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Unterhalb der Abdeckung befindet sich an den beiden Längsseiten eine ca. 240 mm hohe Blende.</w:t>
      </w:r>
    </w:p>
    <w:p w14:paraId="27FAF0C8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0F3E605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07CC44F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27E1723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7A4A730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52BC12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4A9E383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2DF1BD3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445E0F" w:rsidRPr="00445E0F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43B4DF0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229B352" w14:textId="021990DF" w:rsidR="00C00BF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An der Unterseite der Seitenwangen ist die Rollenausstattung angebaut: Bedienseitig 2 Zwillings-Lenkrollen mit Feststellbremse, kundenseitig 2 Zwillings-Lenkrollen, Rollendurchmesser 75 mm.</w:t>
      </w:r>
      <w:r w:rsidR="00C46EA3">
        <w:rPr>
          <w:rFonts w:ascii="Arial" w:hAnsi="Arial"/>
        </w:rPr>
        <w:t xml:space="preserve"> </w:t>
      </w:r>
      <w:bookmarkStart w:id="0" w:name="_Hlk146635695"/>
      <w:r w:rsidR="00C46EA3" w:rsidRPr="00C46EA3">
        <w:rPr>
          <w:rFonts w:ascii="Arial" w:hAnsi="Arial"/>
        </w:rPr>
        <w:t>Der Abstand vom Fußboden zur Unterkante des Moduls beträgt ca. 100 mm.</w:t>
      </w:r>
      <w:bookmarkEnd w:id="0"/>
    </w:p>
    <w:p w14:paraId="74D1476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BAD0280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745B87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8C1E65A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445E0F" w:rsidRPr="00445E0F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1AEC49E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18B9A489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24E9EC05" w14:textId="77777777" w:rsidR="001E4EB1" w:rsidRDefault="001E4EB1" w:rsidP="001E4EB1">
      <w:pPr>
        <w:pStyle w:val="Listenabsatz"/>
        <w:rPr>
          <w:rFonts w:ascii="Arial" w:hAnsi="Arial"/>
        </w:rPr>
      </w:pPr>
    </w:p>
    <w:p w14:paraId="3D1043E6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445E0F" w:rsidRPr="00445E0F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4099E5B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00CCDB1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363BE7D4" w14:textId="77777777" w:rsidR="00047465" w:rsidRDefault="00047465" w:rsidP="00047465">
      <w:pPr>
        <w:pStyle w:val="Listenabsatz"/>
        <w:rPr>
          <w:rFonts w:ascii="Arial" w:hAnsi="Arial"/>
        </w:rPr>
      </w:pPr>
    </w:p>
    <w:p w14:paraId="3339727A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3DE99095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445C6AF0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445E0F" w:rsidRPr="00445E0F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287F459E" w14:textId="77777777" w:rsidR="001E4EB1" w:rsidRDefault="001E4EB1" w:rsidP="001E4EB1">
      <w:pPr>
        <w:pStyle w:val="Listenabsatz"/>
        <w:rPr>
          <w:rFonts w:ascii="Arial" w:hAnsi="Arial"/>
        </w:rPr>
      </w:pPr>
    </w:p>
    <w:p w14:paraId="6BA18CAA" w14:textId="77777777" w:rsidR="00CC2380" w:rsidRDefault="00CC2380" w:rsidP="00CC2380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2F9E4FAB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67631AFA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600ECA13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326B3244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55741BBD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625914F9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0E868334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59642733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7240AA0A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35C82BA8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5B3FA6C5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33EDAC22" w14:textId="77777777" w:rsidR="00CC2380" w:rsidRDefault="00CC2380" w:rsidP="00CC238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252B2A60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405664B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5E31EE50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C904D34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oder in reduzierter Höhe (785mm) für Kinderverpflegung.</w:t>
      </w:r>
    </w:p>
    <w:p w14:paraId="06EE8B14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85A20D0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04A974ED" w14:textId="77777777" w:rsidR="008E27E7" w:rsidRDefault="008E27E7" w:rsidP="008E27E7">
      <w:pPr>
        <w:pStyle w:val="Listenabsatz"/>
        <w:rPr>
          <w:rFonts w:ascii="Arial" w:hAnsi="Arial"/>
        </w:rPr>
      </w:pPr>
    </w:p>
    <w:p w14:paraId="73F765C3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7507D67C" w14:textId="77777777" w:rsidR="00DE683D" w:rsidRDefault="00DE683D" w:rsidP="00DE683D">
      <w:pPr>
        <w:pStyle w:val="Listenabsatz"/>
        <w:rPr>
          <w:rFonts w:ascii="Arial" w:hAnsi="Arial"/>
        </w:rPr>
      </w:pPr>
    </w:p>
    <w:p w14:paraId="48BC3B92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784638DC" w14:textId="77777777" w:rsidR="00DE683D" w:rsidRDefault="00DE683D" w:rsidP="00DE683D">
      <w:pPr>
        <w:pStyle w:val="Listenabsatz"/>
        <w:rPr>
          <w:rFonts w:ascii="Arial" w:hAnsi="Arial"/>
        </w:rPr>
      </w:pPr>
    </w:p>
    <w:p w14:paraId="3900548C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CB845D1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45B3D4B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5B4B1BF8" w14:textId="77777777" w:rsidR="002949FF" w:rsidRDefault="002949FF" w:rsidP="002949FF">
      <w:pPr>
        <w:pStyle w:val="Listenabsatz"/>
        <w:rPr>
          <w:rFonts w:ascii="Arial" w:hAnsi="Arial"/>
        </w:rPr>
      </w:pPr>
    </w:p>
    <w:p w14:paraId="6B7CDBFF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3010BCD9" w14:textId="77777777" w:rsidR="00C033DE" w:rsidRDefault="00C033DE" w:rsidP="00C033DE">
      <w:pPr>
        <w:pStyle w:val="Listenabsatz"/>
        <w:rPr>
          <w:rFonts w:ascii="Arial" w:hAnsi="Arial"/>
        </w:rPr>
      </w:pPr>
    </w:p>
    <w:p w14:paraId="0D29AA60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1279DAAD" w14:textId="77777777" w:rsidR="002E112E" w:rsidRDefault="002E112E" w:rsidP="002E112E">
      <w:pPr>
        <w:pStyle w:val="Listenabsatz"/>
        <w:rPr>
          <w:rFonts w:ascii="Arial" w:hAnsi="Arial"/>
        </w:rPr>
      </w:pPr>
    </w:p>
    <w:p w14:paraId="67C6E25B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3E6B026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3E9CF4D7" w14:textId="77777777" w:rsidR="00D03929" w:rsidRPr="004A3CC7" w:rsidRDefault="00D03929" w:rsidP="00D03929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2669ACA8" w14:textId="77777777" w:rsidR="00D03929" w:rsidRPr="004A3CC7" w:rsidRDefault="00D03929" w:rsidP="00D03929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31943A9D" w14:textId="77777777" w:rsidR="003E3C32" w:rsidRDefault="003E3C32" w:rsidP="00D03929">
      <w:pPr>
        <w:pStyle w:val="Listenabsatz"/>
        <w:ind w:left="0"/>
        <w:rPr>
          <w:rFonts w:ascii="Arial" w:hAnsi="Arial"/>
        </w:rPr>
      </w:pPr>
    </w:p>
    <w:p w14:paraId="1E99726D" w14:textId="27CC4986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632D6B33" w14:textId="60767557" w:rsidR="00D03929" w:rsidRDefault="00D03929" w:rsidP="00D03929">
      <w:pPr>
        <w:suppressAutoHyphens/>
        <w:ind w:right="3402"/>
        <w:rPr>
          <w:rFonts w:ascii="Arial" w:hAnsi="Arial"/>
        </w:rPr>
      </w:pPr>
    </w:p>
    <w:p w14:paraId="3B808770" w14:textId="77777777" w:rsidR="00D03929" w:rsidRDefault="00D03929" w:rsidP="00D03929">
      <w:pPr>
        <w:suppressAutoHyphens/>
        <w:ind w:right="3402"/>
        <w:rPr>
          <w:rFonts w:ascii="Arial" w:hAnsi="Arial"/>
        </w:rPr>
      </w:pPr>
    </w:p>
    <w:p w14:paraId="7FC78DD2" w14:textId="77777777" w:rsidR="00A252DA" w:rsidRDefault="00A252DA" w:rsidP="00A252DA">
      <w:pPr>
        <w:pStyle w:val="Listenabsatz"/>
        <w:rPr>
          <w:rFonts w:ascii="Arial" w:hAnsi="Arial"/>
        </w:rPr>
      </w:pPr>
    </w:p>
    <w:p w14:paraId="2598A368" w14:textId="77777777" w:rsidR="00C60D1D" w:rsidRPr="00A252DA" w:rsidRDefault="00A252DA" w:rsidP="00C60D1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A252DA">
        <w:rPr>
          <w:rFonts w:ascii="Arial" w:hAnsi="Arial"/>
        </w:rPr>
        <w:t>Lochdurchbruch in der Abdeckung zur Kabeldurchführung in den Unterbau. Lochdurchmesser 60 mm. Die Lochposition muss angegeben werden.</w:t>
      </w:r>
    </w:p>
    <w:p w14:paraId="6BC198D5" w14:textId="77777777" w:rsidR="00A252DA" w:rsidRDefault="00A252DA" w:rsidP="00C60D1D">
      <w:pPr>
        <w:pStyle w:val="Listenabsatz"/>
        <w:rPr>
          <w:rFonts w:ascii="Arial" w:hAnsi="Arial"/>
        </w:rPr>
      </w:pPr>
    </w:p>
    <w:p w14:paraId="7D110B3A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445E0F" w:rsidRPr="00445E0F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445E0F" w:rsidRPr="00445E0F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11E8A6FC" w14:textId="77777777" w:rsidR="00460AF8" w:rsidRDefault="00460AF8" w:rsidP="00460AF8">
      <w:pPr>
        <w:pStyle w:val="Listenabsatz"/>
        <w:rPr>
          <w:rFonts w:ascii="Arial" w:hAnsi="Arial"/>
        </w:rPr>
      </w:pPr>
    </w:p>
    <w:p w14:paraId="255ACF37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27CC3744" w14:textId="77777777" w:rsidR="003E3C32" w:rsidRDefault="003E3C32" w:rsidP="003E3C32">
      <w:pPr>
        <w:pStyle w:val="Listenabsatz"/>
        <w:rPr>
          <w:rFonts w:ascii="Arial" w:hAnsi="Arial"/>
        </w:rPr>
      </w:pPr>
    </w:p>
    <w:p w14:paraId="6070EDB7" w14:textId="31D29928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C46EA3">
        <w:rPr>
          <w:rFonts w:ascii="Arial" w:hAnsi="Arial"/>
        </w:rPr>
        <w:t xml:space="preserve">. </w:t>
      </w:r>
      <w:bookmarkStart w:id="1" w:name="_Hlk146635715"/>
      <w:r w:rsidR="00C46EA3" w:rsidRPr="00C46EA3">
        <w:rPr>
          <w:rFonts w:ascii="Arial" w:hAnsi="Arial"/>
        </w:rPr>
        <w:t>Der Abstand vom Fußboden zur Unterkante des Moduls beträgt dann ca. 160 mm.</w:t>
      </w:r>
      <w:bookmarkEnd w:id="1"/>
    </w:p>
    <w:p w14:paraId="675C604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5DE6FCC7" w14:textId="44761160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C46EA3">
        <w:rPr>
          <w:rFonts w:ascii="Arial" w:hAnsi="Arial"/>
        </w:rPr>
        <w:t xml:space="preserve">. </w:t>
      </w:r>
      <w:bookmarkStart w:id="2" w:name="_Hlk146635232"/>
      <w:bookmarkStart w:id="3" w:name="_Hlk146636144"/>
      <w:r w:rsidR="00C46EA3" w:rsidRPr="00C46EA3">
        <w:rPr>
          <w:rFonts w:ascii="Arial" w:hAnsi="Arial"/>
        </w:rPr>
        <w:t>Der Abstand vom Fußboden zur Unterkante des Moduls beträgt dann ca. 94 – 114 mm</w:t>
      </w:r>
      <w:bookmarkEnd w:id="3"/>
      <w:r w:rsidR="00C46EA3" w:rsidRPr="00C46EA3">
        <w:rPr>
          <w:rFonts w:ascii="Arial" w:hAnsi="Arial"/>
        </w:rPr>
        <w:t>.</w:t>
      </w:r>
      <w:bookmarkEnd w:id="2"/>
    </w:p>
    <w:p w14:paraId="017C4ED7" w14:textId="77777777" w:rsidR="002949FF" w:rsidRDefault="002949FF" w:rsidP="002949FF">
      <w:pPr>
        <w:pStyle w:val="Listenabsatz"/>
        <w:rPr>
          <w:rFonts w:ascii="Arial" w:hAnsi="Arial"/>
        </w:rPr>
      </w:pPr>
    </w:p>
    <w:p w14:paraId="18E93AD7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46830E71" w14:textId="77777777" w:rsidR="00062E01" w:rsidRPr="00CC2380" w:rsidRDefault="00062E01" w:rsidP="008077FB">
      <w:pPr>
        <w:suppressAutoHyphens/>
        <w:ind w:right="3402"/>
        <w:rPr>
          <w:rFonts w:ascii="Arial" w:hAnsi="Arial"/>
        </w:rPr>
      </w:pPr>
    </w:p>
    <w:p w14:paraId="2CCDDD35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70ABF572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FF4034A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1F2EDE83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641B1D02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7F34B242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23A79AB2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</w:p>
    <w:p w14:paraId="6FE656EF" w14:textId="77777777" w:rsidR="00763184" w:rsidRPr="004350FB" w:rsidRDefault="00763184" w:rsidP="00763184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  <w:r w:rsidRPr="004350FB">
        <w:rPr>
          <w:rFonts w:ascii="Arial" w:hAnsi="Arial" w:cs="Arial"/>
        </w:rPr>
        <w:t xml:space="preserve"> </w:t>
      </w:r>
    </w:p>
    <w:p w14:paraId="72A1F878" w14:textId="77777777" w:rsidR="00763184" w:rsidRDefault="0076318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  <w:t>---</w:t>
      </w:r>
    </w:p>
    <w:p w14:paraId="4AC6184B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2C9EC319" w14:textId="77777777" w:rsidR="00F45E59" w:rsidRDefault="007668D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Gewicht, </w:t>
      </w:r>
      <w:r w:rsidR="0015074F">
        <w:rPr>
          <w:rFonts w:ascii="Arial" w:hAnsi="Arial"/>
          <w:i/>
        </w:rPr>
        <w:t>Kapazität</w:t>
      </w:r>
      <w:r>
        <w:rPr>
          <w:rFonts w:ascii="Arial" w:hAnsi="Arial"/>
          <w:i/>
        </w:rPr>
        <w:t xml:space="preserve"> und der </w:t>
      </w:r>
      <w:r w:rsidR="00C21A08">
        <w:rPr>
          <w:rFonts w:ascii="Arial" w:hAnsi="Arial"/>
          <w:i/>
        </w:rPr>
        <w:t xml:space="preserve">Anschlusswert des Moduls </w:t>
      </w:r>
      <w:r w:rsidR="0094781B">
        <w:rPr>
          <w:rFonts w:ascii="Arial" w:hAnsi="Arial"/>
          <w:i/>
        </w:rPr>
        <w:t>hängt vo</w:t>
      </w:r>
      <w:r>
        <w:rPr>
          <w:rFonts w:ascii="Arial" w:hAnsi="Arial"/>
          <w:i/>
        </w:rPr>
        <w:t>n der Modulbreite bzw. dem</w:t>
      </w:r>
      <w:r w:rsidR="0094781B">
        <w:rPr>
          <w:rFonts w:ascii="Arial" w:hAnsi="Arial"/>
          <w:i/>
        </w:rPr>
        <w:t xml:space="preserve"> optionalen Zubehör ab.</w:t>
      </w:r>
    </w:p>
    <w:p w14:paraId="61AF655B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23240B3D" w14:textId="77777777" w:rsidR="00C46EA3" w:rsidRDefault="00C46EA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D8E81A8" w14:textId="77777777" w:rsidR="00C46EA3" w:rsidRDefault="00C46EA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4CC41A7" w14:textId="77777777" w:rsidR="00C46EA3" w:rsidRDefault="00C46EA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428D0CC" w14:textId="77777777" w:rsidR="00C46EA3" w:rsidRDefault="00C46EA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362D4B4" w14:textId="77777777" w:rsidR="00C46EA3" w:rsidRDefault="00C46EA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0D034A5" w14:textId="0CDF08D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lastRenderedPageBreak/>
        <w:t>Besonderheiten:</w:t>
      </w:r>
    </w:p>
    <w:p w14:paraId="6E80569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C869E9E" w14:textId="77777777" w:rsidR="007668DC" w:rsidRDefault="0015074F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Modulbreite variabel</w:t>
      </w:r>
      <w:r w:rsidR="007668DC">
        <w:rPr>
          <w:rFonts w:ascii="Arial" w:hAnsi="Arial"/>
        </w:rPr>
        <w:t>, frei wählbar zwischen 400-1900 mm</w:t>
      </w:r>
    </w:p>
    <w:p w14:paraId="6380036A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410FE88D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1A594A68" w14:textId="77777777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6E8841CF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C518DB8" w14:textId="77777777" w:rsidR="00B34498" w:rsidRPr="00CC2380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CC2380">
        <w:rPr>
          <w:rFonts w:ascii="Arial" w:hAnsi="Arial"/>
          <w:b/>
          <w:u w:val="single"/>
          <w:lang w:val="en-US"/>
        </w:rPr>
        <w:t>Fabrikat</w:t>
      </w:r>
      <w:proofErr w:type="spellEnd"/>
      <w:r w:rsidRPr="00CC2380">
        <w:rPr>
          <w:rFonts w:ascii="Arial" w:hAnsi="Arial"/>
          <w:b/>
          <w:u w:val="single"/>
          <w:lang w:val="en-US"/>
        </w:rPr>
        <w:t>:</w:t>
      </w:r>
    </w:p>
    <w:p w14:paraId="5FB6BEDB" w14:textId="77777777" w:rsidR="00B34498" w:rsidRPr="00CC2380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00C4D0DF" w14:textId="77777777" w:rsidR="00B34498" w:rsidRPr="00CC2380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CC2380">
        <w:rPr>
          <w:rFonts w:ascii="Arial" w:hAnsi="Arial"/>
          <w:lang w:val="en-US"/>
        </w:rPr>
        <w:t>Hersteller</w:t>
      </w:r>
      <w:proofErr w:type="spellEnd"/>
      <w:r w:rsidR="000D49F8" w:rsidRPr="00CC2380">
        <w:rPr>
          <w:rFonts w:ascii="Arial" w:hAnsi="Arial"/>
          <w:lang w:val="en-US"/>
        </w:rPr>
        <w:t>:</w:t>
      </w:r>
      <w:r w:rsidR="000D49F8" w:rsidRPr="00CC2380">
        <w:rPr>
          <w:rFonts w:ascii="Arial" w:hAnsi="Arial"/>
          <w:lang w:val="en-US"/>
        </w:rPr>
        <w:tab/>
      </w:r>
      <w:r w:rsidR="000D49F8" w:rsidRPr="00CC2380">
        <w:rPr>
          <w:rFonts w:ascii="Arial" w:hAnsi="Arial"/>
          <w:lang w:val="en-US"/>
        </w:rPr>
        <w:tab/>
      </w:r>
      <w:r w:rsidR="00445E0F" w:rsidRPr="00CC2380">
        <w:rPr>
          <w:rFonts w:ascii="Arial" w:hAnsi="Arial"/>
          <w:lang w:val="en-US"/>
        </w:rPr>
        <w:t>B.PRO</w:t>
      </w:r>
    </w:p>
    <w:p w14:paraId="198DB16A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763184" w:rsidRPr="00763184">
        <w:rPr>
          <w:rFonts w:ascii="Arial" w:hAnsi="Arial"/>
          <w:lang w:val="en-GB"/>
        </w:rPr>
        <w:t>N</w:t>
      </w:r>
      <w:r w:rsidR="00351EF1" w:rsidRPr="00763184">
        <w:rPr>
          <w:rFonts w:ascii="Arial" w:hAnsi="Arial"/>
          <w:lang w:val="en-GB"/>
        </w:rPr>
        <w:t>-</w:t>
      </w:r>
      <w:r w:rsidR="007668DC">
        <w:rPr>
          <w:rFonts w:ascii="Arial" w:hAnsi="Arial"/>
          <w:lang w:val="en-GB"/>
        </w:rPr>
        <w:t>V</w:t>
      </w:r>
    </w:p>
    <w:p w14:paraId="6BDBDE09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</w:t>
      </w:r>
      <w:r w:rsidR="007668DC">
        <w:rPr>
          <w:rFonts w:ascii="Arial" w:hAnsi="Arial"/>
          <w:lang w:val="en-GB"/>
        </w:rPr>
        <w:t>5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9D9B" w14:textId="77777777" w:rsidR="0094498F" w:rsidRDefault="0094498F">
      <w:r>
        <w:separator/>
      </w:r>
    </w:p>
  </w:endnote>
  <w:endnote w:type="continuationSeparator" w:id="0">
    <w:p w14:paraId="05C02BB0" w14:textId="77777777" w:rsidR="0094498F" w:rsidRDefault="0094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2EE" w14:textId="3C962561" w:rsidR="00F059E3" w:rsidRPr="00C46EA3" w:rsidRDefault="00F059E3">
    <w:pPr>
      <w:pStyle w:val="Fuzeile"/>
      <w:rPr>
        <w:rFonts w:ascii="Arial" w:hAnsi="Arial" w:cs="Arial"/>
        <w:sz w:val="16"/>
        <w:szCs w:val="16"/>
      </w:rPr>
    </w:pPr>
    <w:r w:rsidRPr="00C46EA3">
      <w:rPr>
        <w:rFonts w:ascii="Arial" w:hAnsi="Arial" w:cs="Arial"/>
        <w:sz w:val="16"/>
        <w:szCs w:val="16"/>
      </w:rPr>
      <w:t>L</w:t>
    </w:r>
    <w:r w:rsidR="00163B3F" w:rsidRPr="00C46EA3">
      <w:rPr>
        <w:rFonts w:ascii="Arial" w:hAnsi="Arial" w:cs="Arial"/>
        <w:sz w:val="16"/>
        <w:szCs w:val="16"/>
      </w:rPr>
      <w:t xml:space="preserve">V-Text BASIC LINE </w:t>
    </w:r>
    <w:r w:rsidR="00763184" w:rsidRPr="00C46EA3">
      <w:rPr>
        <w:rFonts w:ascii="Arial" w:hAnsi="Arial" w:cs="Arial"/>
        <w:sz w:val="16"/>
        <w:szCs w:val="16"/>
      </w:rPr>
      <w:t>N</w:t>
    </w:r>
    <w:r w:rsidR="008B4D60" w:rsidRPr="00C46EA3">
      <w:rPr>
        <w:rFonts w:ascii="Arial" w:hAnsi="Arial" w:cs="Arial"/>
        <w:sz w:val="16"/>
        <w:szCs w:val="16"/>
      </w:rPr>
      <w:t>-</w:t>
    </w:r>
    <w:r w:rsidR="007668DC" w:rsidRPr="00C46EA3">
      <w:rPr>
        <w:rFonts w:ascii="Arial" w:hAnsi="Arial" w:cs="Arial"/>
        <w:sz w:val="16"/>
        <w:szCs w:val="16"/>
      </w:rPr>
      <w:t>V</w:t>
    </w:r>
    <w:r w:rsidR="00163B3F" w:rsidRPr="00C46EA3">
      <w:rPr>
        <w:rFonts w:ascii="Arial" w:hAnsi="Arial" w:cs="Arial"/>
        <w:sz w:val="16"/>
        <w:szCs w:val="16"/>
      </w:rPr>
      <w:t xml:space="preserve"> </w:t>
    </w:r>
    <w:r w:rsidRPr="00C46EA3">
      <w:rPr>
        <w:rFonts w:ascii="Arial" w:hAnsi="Arial" w:cs="Arial"/>
        <w:sz w:val="16"/>
        <w:szCs w:val="16"/>
      </w:rPr>
      <w:t xml:space="preserve">/ Version </w:t>
    </w:r>
    <w:r w:rsidR="00C46EA3" w:rsidRPr="00C46EA3">
      <w:rPr>
        <w:rFonts w:ascii="Arial" w:hAnsi="Arial" w:cs="Arial"/>
        <w:sz w:val="16"/>
        <w:szCs w:val="16"/>
      </w:rPr>
      <w:t>5</w:t>
    </w:r>
    <w:r w:rsidRPr="00C46EA3">
      <w:rPr>
        <w:rFonts w:ascii="Arial" w:hAnsi="Arial" w:cs="Arial"/>
        <w:sz w:val="16"/>
        <w:szCs w:val="16"/>
      </w:rPr>
      <w:t xml:space="preserve">.0 / </w:t>
    </w:r>
    <w:r w:rsidR="00C46EA3" w:rsidRPr="00C46EA3">
      <w:rPr>
        <w:rFonts w:ascii="Arial" w:hAnsi="Arial" w:cs="Arial"/>
        <w:sz w:val="16"/>
        <w:szCs w:val="16"/>
      </w:rPr>
      <w:t>J. Sanwa</w:t>
    </w:r>
    <w:r w:rsidR="00C46EA3">
      <w:rPr>
        <w:rFonts w:ascii="Arial" w:hAnsi="Arial" w:cs="Arial"/>
        <w:sz w:val="16"/>
        <w:szCs w:val="16"/>
      </w:rPr>
      <w:t>ld</w:t>
    </w:r>
    <w:r w:rsidRPr="00C46EA3">
      <w:rPr>
        <w:rFonts w:ascii="Arial" w:hAnsi="Arial" w:cs="Arial"/>
        <w:sz w:val="16"/>
        <w:szCs w:val="16"/>
      </w:rPr>
      <w:tab/>
    </w:r>
    <w:r w:rsidR="00C46EA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</w:t>
    </w:r>
    <w:r w:rsidRPr="00C46EA3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C46EA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4536F1" w:rsidRPr="00C46EA3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C46EA3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C46EA3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4536F1" w:rsidRPr="00C46EA3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C46EA3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0341" w14:textId="77777777" w:rsidR="0094498F" w:rsidRDefault="0094498F">
      <w:r>
        <w:separator/>
      </w:r>
    </w:p>
  </w:footnote>
  <w:footnote w:type="continuationSeparator" w:id="0">
    <w:p w14:paraId="660ECB5D" w14:textId="77777777" w:rsidR="0094498F" w:rsidRDefault="0094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522124">
    <w:abstractNumId w:val="2"/>
  </w:num>
  <w:num w:numId="2" w16cid:durableId="385447567">
    <w:abstractNumId w:val="18"/>
  </w:num>
  <w:num w:numId="3" w16cid:durableId="1582327675">
    <w:abstractNumId w:val="3"/>
  </w:num>
  <w:num w:numId="4" w16cid:durableId="14887005">
    <w:abstractNumId w:val="20"/>
  </w:num>
  <w:num w:numId="5" w16cid:durableId="77336266">
    <w:abstractNumId w:val="5"/>
  </w:num>
  <w:num w:numId="6" w16cid:durableId="1326518849">
    <w:abstractNumId w:val="10"/>
  </w:num>
  <w:num w:numId="7" w16cid:durableId="429859786">
    <w:abstractNumId w:val="14"/>
  </w:num>
  <w:num w:numId="8" w16cid:durableId="1881015730">
    <w:abstractNumId w:val="0"/>
  </w:num>
  <w:num w:numId="9" w16cid:durableId="1373923190">
    <w:abstractNumId w:val="6"/>
  </w:num>
  <w:num w:numId="10" w16cid:durableId="1864435140">
    <w:abstractNumId w:val="11"/>
  </w:num>
  <w:num w:numId="11" w16cid:durableId="1856118541">
    <w:abstractNumId w:val="15"/>
  </w:num>
  <w:num w:numId="12" w16cid:durableId="1574006729">
    <w:abstractNumId w:val="7"/>
  </w:num>
  <w:num w:numId="13" w16cid:durableId="1429540564">
    <w:abstractNumId w:val="1"/>
  </w:num>
  <w:num w:numId="14" w16cid:durableId="1247693453">
    <w:abstractNumId w:val="22"/>
  </w:num>
  <w:num w:numId="15" w16cid:durableId="1934505717">
    <w:abstractNumId w:val="13"/>
  </w:num>
  <w:num w:numId="16" w16cid:durableId="846792947">
    <w:abstractNumId w:val="12"/>
  </w:num>
  <w:num w:numId="17" w16cid:durableId="1122304999">
    <w:abstractNumId w:val="17"/>
  </w:num>
  <w:num w:numId="18" w16cid:durableId="694159514">
    <w:abstractNumId w:val="19"/>
  </w:num>
  <w:num w:numId="19" w16cid:durableId="1704405507">
    <w:abstractNumId w:val="4"/>
  </w:num>
  <w:num w:numId="20" w16cid:durableId="963925247">
    <w:abstractNumId w:val="16"/>
  </w:num>
  <w:num w:numId="21" w16cid:durableId="574707205">
    <w:abstractNumId w:val="8"/>
  </w:num>
  <w:num w:numId="22" w16cid:durableId="253511500">
    <w:abstractNumId w:val="9"/>
  </w:num>
  <w:num w:numId="23" w16cid:durableId="965891117">
    <w:abstractNumId w:val="21"/>
  </w:num>
  <w:num w:numId="24" w16cid:durableId="348258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14D57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45E0F"/>
    <w:rsid w:val="004536F1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30024"/>
    <w:rsid w:val="00746109"/>
    <w:rsid w:val="00750398"/>
    <w:rsid w:val="00763184"/>
    <w:rsid w:val="007668DC"/>
    <w:rsid w:val="007751AF"/>
    <w:rsid w:val="007A7EF0"/>
    <w:rsid w:val="007B2507"/>
    <w:rsid w:val="007B52F9"/>
    <w:rsid w:val="007B79FE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31C1"/>
    <w:rsid w:val="008B0C8F"/>
    <w:rsid w:val="008B4D60"/>
    <w:rsid w:val="008C65C9"/>
    <w:rsid w:val="008E27E7"/>
    <w:rsid w:val="008E39C0"/>
    <w:rsid w:val="008F6886"/>
    <w:rsid w:val="00903B6D"/>
    <w:rsid w:val="00924CF7"/>
    <w:rsid w:val="00931048"/>
    <w:rsid w:val="0094498F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252DA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34CB0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46EA3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C2380"/>
    <w:rsid w:val="00CE04B2"/>
    <w:rsid w:val="00CE2A67"/>
    <w:rsid w:val="00D03929"/>
    <w:rsid w:val="00D20175"/>
    <w:rsid w:val="00D32FC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34BB5FF"/>
  <w15:chartTrackingRefBased/>
  <w15:docId w15:val="{F07FF651-2C0D-479F-84F0-3BC5EB64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3</cp:revision>
  <cp:lastPrinted>2015-10-07T12:05:00Z</cp:lastPrinted>
  <dcterms:created xsi:type="dcterms:W3CDTF">2022-01-03T10:16:00Z</dcterms:created>
  <dcterms:modified xsi:type="dcterms:W3CDTF">2023-09-26T13:57:00Z</dcterms:modified>
</cp:coreProperties>
</file>