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0D9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4BD23872" w14:textId="77777777" w:rsidR="003A5A20" w:rsidRPr="000301F2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  <w:r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8B4D60">
        <w:rPr>
          <w:rFonts w:ascii="Arial" w:hAnsi="Arial"/>
          <w:b/>
          <w:spacing w:val="-3"/>
          <w:sz w:val="28"/>
          <w:u w:val="single"/>
          <w:lang w:val="en-GB"/>
        </w:rPr>
        <w:t>N-</w:t>
      </w:r>
      <w:proofErr w:type="gramStart"/>
      <w:r w:rsidR="008B4D60">
        <w:rPr>
          <w:rFonts w:ascii="Arial" w:hAnsi="Arial"/>
          <w:b/>
          <w:spacing w:val="-3"/>
          <w:sz w:val="28"/>
          <w:u w:val="single"/>
          <w:lang w:val="en-GB"/>
        </w:rPr>
        <w:t>4  -</w:t>
      </w:r>
      <w:proofErr w:type="gramEnd"/>
      <w:r w:rsidR="008B4D60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8B4D60">
        <w:rPr>
          <w:rFonts w:ascii="Arial" w:hAnsi="Arial"/>
          <w:b/>
          <w:spacing w:val="-3"/>
          <w:sz w:val="28"/>
          <w:u w:val="single"/>
          <w:lang w:val="en-GB"/>
        </w:rPr>
        <w:t>Neutralbuffet</w:t>
      </w:r>
      <w:proofErr w:type="spellEnd"/>
      <w:r w:rsidR="008B4D60">
        <w:rPr>
          <w:rFonts w:ascii="Arial" w:hAnsi="Arial"/>
          <w:b/>
          <w:spacing w:val="-3"/>
          <w:sz w:val="28"/>
          <w:u w:val="single"/>
          <w:lang w:val="en-GB"/>
        </w:rPr>
        <w:t xml:space="preserve">, </w:t>
      </w:r>
      <w:proofErr w:type="spellStart"/>
      <w:r w:rsidR="008B4D60">
        <w:rPr>
          <w:rFonts w:ascii="Arial" w:hAnsi="Arial"/>
          <w:b/>
          <w:spacing w:val="-3"/>
          <w:sz w:val="28"/>
          <w:u w:val="single"/>
          <w:lang w:val="en-GB"/>
        </w:rPr>
        <w:t>analog</w:t>
      </w:r>
      <w:proofErr w:type="spellEnd"/>
      <w:r w:rsidR="008B4D60">
        <w:rPr>
          <w:rFonts w:ascii="Arial" w:hAnsi="Arial"/>
          <w:b/>
          <w:spacing w:val="-3"/>
          <w:sz w:val="28"/>
          <w:u w:val="single"/>
          <w:lang w:val="en-GB"/>
        </w:rPr>
        <w:t xml:space="preserve"> 4</w:t>
      </w:r>
      <w:r w:rsidR="002E1F4B">
        <w:rPr>
          <w:rFonts w:ascii="Arial" w:hAnsi="Arial"/>
          <w:b/>
          <w:spacing w:val="-3"/>
          <w:sz w:val="28"/>
          <w:u w:val="single"/>
          <w:lang w:val="en-GB"/>
        </w:rPr>
        <w:t xml:space="preserve"> x GN 1/1</w:t>
      </w:r>
    </w:p>
    <w:p w14:paraId="5ACC4348" w14:textId="77777777" w:rsidR="005119F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93E0123" w14:textId="77777777" w:rsidR="002E1F4B" w:rsidRPr="000301F2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0ABE8FB5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4B9BCD1F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3190B35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B4D60">
        <w:rPr>
          <w:rFonts w:ascii="Arial" w:hAnsi="Arial"/>
        </w:rPr>
        <w:t>1595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62CFCE23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59240568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55F047D0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7DFFD904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5B356237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2A05CA3F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3B2CACCD" w14:textId="77777777" w:rsidR="004012B8" w:rsidRPr="00223F4B" w:rsidRDefault="004012B8" w:rsidP="00B12139">
      <w:pPr>
        <w:suppressAutoHyphens/>
        <w:ind w:right="3402"/>
        <w:rPr>
          <w:rFonts w:ascii="Arial" w:hAnsi="Arial"/>
          <w:iCs/>
        </w:rPr>
      </w:pPr>
      <w:r w:rsidRPr="00223F4B">
        <w:rPr>
          <w:rFonts w:ascii="Arial" w:hAnsi="Arial"/>
          <w:iCs/>
        </w:rPr>
        <w:t xml:space="preserve">Höhe inkl. </w:t>
      </w:r>
      <w:r w:rsidR="0056384E" w:rsidRPr="00223F4B">
        <w:rPr>
          <w:rFonts w:ascii="Arial" w:hAnsi="Arial"/>
          <w:iCs/>
        </w:rPr>
        <w:t>Brückenaufsatz</w:t>
      </w:r>
      <w:r w:rsidRPr="00223F4B">
        <w:rPr>
          <w:rFonts w:ascii="Arial" w:hAnsi="Arial"/>
          <w:iCs/>
        </w:rPr>
        <w:t>:</w:t>
      </w:r>
      <w:r w:rsidR="0056384E" w:rsidRPr="00223F4B">
        <w:rPr>
          <w:rFonts w:ascii="Arial" w:hAnsi="Arial"/>
          <w:iCs/>
        </w:rPr>
        <w:tab/>
      </w:r>
      <w:r w:rsidRPr="00223F4B">
        <w:rPr>
          <w:rFonts w:ascii="Arial" w:hAnsi="Arial"/>
          <w:iCs/>
        </w:rPr>
        <w:t>1305 mm</w:t>
      </w:r>
    </w:p>
    <w:p w14:paraId="3BEE0D1D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679E6CE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7D983B6F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542CFFEB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5D62B81B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F3DC691" w14:textId="77777777" w:rsidR="002E1F4B" w:rsidRPr="008F6886" w:rsidRDefault="0026332F" w:rsidP="00B12139">
      <w:pPr>
        <w:suppressAutoHyphens/>
        <w:ind w:right="3402"/>
        <w:rPr>
          <w:rFonts w:ascii="Arial" w:hAnsi="Arial"/>
        </w:rPr>
      </w:pPr>
      <w:r w:rsidRPr="008F6886">
        <w:rPr>
          <w:rFonts w:ascii="Arial" w:hAnsi="Arial"/>
        </w:rPr>
        <w:t xml:space="preserve">Fahrbares </w:t>
      </w:r>
      <w:r w:rsidR="005E2E5D" w:rsidRPr="008F6886">
        <w:rPr>
          <w:rFonts w:ascii="Arial" w:hAnsi="Arial"/>
        </w:rPr>
        <w:t>Modul,</w:t>
      </w:r>
      <w:r w:rsidR="008045CE" w:rsidRPr="008F6886">
        <w:rPr>
          <w:rFonts w:ascii="Arial" w:hAnsi="Arial"/>
        </w:rPr>
        <w:t xml:space="preserve"> basierend auf einer stabilen, selbst tragenden Blechkonstruktion</w:t>
      </w:r>
      <w:r w:rsidR="002E1F4B" w:rsidRPr="008F6886">
        <w:rPr>
          <w:rFonts w:ascii="Arial" w:hAnsi="Arial"/>
        </w:rPr>
        <w:t>.</w:t>
      </w:r>
    </w:p>
    <w:p w14:paraId="6FF76B96" w14:textId="77777777" w:rsidR="008077FB" w:rsidRPr="008F6886" w:rsidRDefault="002E1F4B" w:rsidP="00B12139">
      <w:pPr>
        <w:suppressAutoHyphens/>
        <w:ind w:right="3402"/>
        <w:rPr>
          <w:rFonts w:ascii="Arial" w:hAnsi="Arial"/>
        </w:rPr>
      </w:pPr>
      <w:r w:rsidRPr="008F6886">
        <w:rPr>
          <w:rFonts w:ascii="Arial" w:hAnsi="Arial"/>
        </w:rPr>
        <w:t>Sofern elektrische Optionen</w:t>
      </w:r>
      <w:r w:rsidR="00763184" w:rsidRPr="008F6886">
        <w:rPr>
          <w:rFonts w:ascii="Arial" w:hAnsi="Arial"/>
        </w:rPr>
        <w:t>/Komponenten</w:t>
      </w:r>
      <w:r w:rsidRPr="008F6886">
        <w:rPr>
          <w:rFonts w:ascii="Arial" w:hAnsi="Arial"/>
        </w:rPr>
        <w:t xml:space="preserve"> konfiguriert werden ist das Modul</w:t>
      </w:r>
      <w:r w:rsidR="0086524F" w:rsidRPr="008F6886">
        <w:rPr>
          <w:rFonts w:ascii="Arial" w:hAnsi="Arial"/>
        </w:rPr>
        <w:t xml:space="preserve"> steckerfertig installiert, mit ca. 2 m langem Anschlusskabel und Stecker</w:t>
      </w:r>
      <w:r w:rsidR="008045CE" w:rsidRPr="008F6886">
        <w:rPr>
          <w:rFonts w:ascii="Arial" w:hAnsi="Arial"/>
        </w:rPr>
        <w:t xml:space="preserve">. </w:t>
      </w:r>
    </w:p>
    <w:p w14:paraId="01E73B34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ED6E7F9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358E0A23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527A08E" w14:textId="77777777" w:rsidR="00763184" w:rsidRDefault="00763184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Das Neutralbüffet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Unterhalb der Abdeckung befindet sich an den beiden Längsseiten eine ca. 240 mm hohe Blende.</w:t>
      </w:r>
    </w:p>
    <w:p w14:paraId="7C473821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5341544E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0C4C1A2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E949153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049815B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985CAEC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7CC6977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9ADF1B1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7765E1" w:rsidRPr="007765E1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511E1381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3EBC98D3" w14:textId="7A79ADDF" w:rsidR="00E20CEA" w:rsidRPr="00F45E59" w:rsidRDefault="005E2E5D" w:rsidP="00E20CEA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  <w:bookmarkStart w:id="0" w:name="_Hlk146635695"/>
      <w:bookmarkStart w:id="1" w:name="_Hlk146635817"/>
      <w:r w:rsidR="00E20CEA" w:rsidRPr="00E20CEA">
        <w:rPr>
          <w:rFonts w:ascii="Arial" w:hAnsi="Arial"/>
          <w:color w:val="FF0000"/>
        </w:rPr>
        <w:t xml:space="preserve"> </w:t>
      </w:r>
      <w:r w:rsidR="00E20CEA" w:rsidRPr="00E20CEA">
        <w:rPr>
          <w:rFonts w:ascii="Arial" w:hAnsi="Arial"/>
        </w:rPr>
        <w:t>Der Abstand vom Fußboden zur Unterkante des Moduls beträgt ca. 100 mm</w:t>
      </w:r>
      <w:r w:rsidR="00E20CEA">
        <w:rPr>
          <w:rFonts w:ascii="Arial" w:hAnsi="Arial"/>
          <w:color w:val="FF0000"/>
        </w:rPr>
        <w:t>.</w:t>
      </w:r>
      <w:bookmarkEnd w:id="0"/>
    </w:p>
    <w:bookmarkEnd w:id="1"/>
    <w:p w14:paraId="09DF0D8A" w14:textId="643FB11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4D171A2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A536520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3C5B2204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0F34BF6F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7765E1" w:rsidRPr="007765E1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75A0BFD7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32EC95FD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3942E08E" w14:textId="77777777" w:rsidR="001E4EB1" w:rsidRDefault="001E4EB1" w:rsidP="001E4EB1">
      <w:pPr>
        <w:pStyle w:val="Listenabsatz"/>
        <w:rPr>
          <w:rFonts w:ascii="Arial" w:hAnsi="Arial"/>
        </w:rPr>
      </w:pPr>
    </w:p>
    <w:p w14:paraId="55AD72AA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7765E1" w:rsidRPr="007765E1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7A14BDBE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08C02800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4ECB32C9" w14:textId="77777777" w:rsidR="00047465" w:rsidRDefault="00047465" w:rsidP="00047465">
      <w:pPr>
        <w:pStyle w:val="Listenabsatz"/>
        <w:rPr>
          <w:rFonts w:ascii="Arial" w:hAnsi="Arial"/>
        </w:rPr>
      </w:pPr>
    </w:p>
    <w:p w14:paraId="646817FE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086D565A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65965D76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7765E1" w:rsidRPr="007765E1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548C5C7F" w14:textId="77777777" w:rsidR="001E4EB1" w:rsidRDefault="001E4EB1" w:rsidP="001E4EB1">
      <w:pPr>
        <w:pStyle w:val="Listenabsatz"/>
        <w:rPr>
          <w:rFonts w:ascii="Arial" w:hAnsi="Arial"/>
        </w:rPr>
      </w:pPr>
    </w:p>
    <w:p w14:paraId="33BC41E4" w14:textId="77777777" w:rsidR="007D4244" w:rsidRDefault="007D4244" w:rsidP="007D4244">
      <w:pPr>
        <w:pStyle w:val="Listenabsatz"/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58389A40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0E825B99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3A00C7F6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4B03F7DE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7248CEC5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6E315493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758672BA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41EC35FE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1DE024D2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3AF15412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573310D4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5D196A22" w14:textId="77777777" w:rsidR="007D4244" w:rsidRDefault="007D4244" w:rsidP="007D4244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2C580E4F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4929CA6F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6347E714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5878D38A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2E5836D7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093CAA8E" w14:textId="77777777" w:rsidR="00763184" w:rsidRPr="00763184" w:rsidRDefault="00763184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7767B1E5" w14:textId="77777777" w:rsidR="00763184" w:rsidRDefault="00763184" w:rsidP="0094781B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602093C1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5CD12CCD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5FB09E92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15C028AC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07E51BF7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7B6E7F29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59113D15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05612BC5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7BD8CF92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7A01E48" w14:textId="77777777" w:rsidR="007B52F9" w:rsidRDefault="008B4D60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Vier </w:t>
      </w:r>
      <w:r w:rsidR="007B52F9" w:rsidRPr="007B52F9">
        <w:rPr>
          <w:rFonts w:ascii="Arial" w:hAnsi="Arial"/>
        </w:rPr>
        <w:t xml:space="preserve">einzeln schaltbare Keramikwärmestrahler mit einer Leistungsaufnahme von jeweils 200W. </w:t>
      </w:r>
      <w:r w:rsidR="007B52F9">
        <w:rPr>
          <w:rFonts w:ascii="Arial" w:hAnsi="Arial"/>
        </w:rPr>
        <w:t xml:space="preserve">Eingebaut in den Brückenaufsatz. </w:t>
      </w:r>
      <w:r w:rsidR="007B52F9" w:rsidRPr="007B52F9">
        <w:rPr>
          <w:rFonts w:ascii="Arial" w:hAnsi="Arial"/>
        </w:rPr>
        <w:t>Die Keramikstrahler sind durch ein engmaschiges CNS-Gitterblech vor direkter Berührung geschützt.</w:t>
      </w:r>
    </w:p>
    <w:p w14:paraId="64B68EF0" w14:textId="77777777" w:rsidR="007B52F9" w:rsidRDefault="007B52F9" w:rsidP="007B52F9">
      <w:pPr>
        <w:pStyle w:val="Listenabsatz"/>
        <w:rPr>
          <w:rFonts w:ascii="Arial" w:hAnsi="Arial"/>
        </w:rPr>
      </w:pPr>
    </w:p>
    <w:p w14:paraId="4A9684C6" w14:textId="77777777" w:rsidR="007B52F9" w:rsidRPr="007B52F9" w:rsidRDefault="00AF6F1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LED-Beleuchtung mit </w:t>
      </w:r>
      <w:r w:rsidR="008B4D60">
        <w:rPr>
          <w:rFonts w:ascii="Arial" w:hAnsi="Arial"/>
        </w:rPr>
        <w:t>4</w:t>
      </w:r>
      <w:r w:rsidR="007B52F9">
        <w:rPr>
          <w:rFonts w:ascii="Arial" w:hAnsi="Arial"/>
        </w:rPr>
        <w:t xml:space="preserve"> LED-Spots (bzw. </w:t>
      </w:r>
      <w:r w:rsidR="008B4D60">
        <w:rPr>
          <w:rFonts w:ascii="Arial" w:hAnsi="Arial"/>
        </w:rPr>
        <w:t>5</w:t>
      </w:r>
      <w:r w:rsidR="007B52F9">
        <w:rPr>
          <w:rFonts w:ascii="Arial" w:hAnsi="Arial"/>
        </w:rPr>
        <w:t xml:space="preserve"> LED-Spots bei Kombination Wärmestrahler/LED) sind in den Brückenaufsatz eingebaut. Spots können separat zu den Wärmestrahlern ein- und ausgeschaltet werden.</w:t>
      </w:r>
      <w:r w:rsidR="00763184">
        <w:rPr>
          <w:rFonts w:ascii="Arial" w:hAnsi="Arial"/>
        </w:rPr>
        <w:t xml:space="preserve"> Lichtfarbe entweder Warmweiß 3000 K oder Neutralweis 4000 K wählbar.</w:t>
      </w:r>
    </w:p>
    <w:p w14:paraId="0B7075E0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7466D2F6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>oder in reduzierter Höhe (785mm) für Kinderverpflegung.</w:t>
      </w:r>
    </w:p>
    <w:p w14:paraId="27B8173D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C6039FA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729D1C36" w14:textId="77777777" w:rsidR="008E27E7" w:rsidRDefault="008E27E7" w:rsidP="008E27E7">
      <w:pPr>
        <w:pStyle w:val="Listenabsatz"/>
        <w:rPr>
          <w:rFonts w:ascii="Arial" w:hAnsi="Arial"/>
        </w:rPr>
      </w:pPr>
    </w:p>
    <w:p w14:paraId="10502F24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F2D44BA" w14:textId="77777777" w:rsidR="00DE683D" w:rsidRDefault="00DE683D" w:rsidP="00DE683D">
      <w:pPr>
        <w:pStyle w:val="Listenabsatz"/>
        <w:rPr>
          <w:rFonts w:ascii="Arial" w:hAnsi="Arial"/>
        </w:rPr>
      </w:pPr>
    </w:p>
    <w:p w14:paraId="36B28CCE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7AD090C7" w14:textId="77777777" w:rsidR="00DE683D" w:rsidRDefault="00DE683D" w:rsidP="00DE683D">
      <w:pPr>
        <w:pStyle w:val="Listenabsatz"/>
        <w:rPr>
          <w:rFonts w:ascii="Arial" w:hAnsi="Arial"/>
        </w:rPr>
      </w:pPr>
    </w:p>
    <w:p w14:paraId="2E4F093F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29227F8B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2B83C02E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78705F87" w14:textId="77777777" w:rsidR="002949FF" w:rsidRDefault="002949FF" w:rsidP="002949FF">
      <w:pPr>
        <w:pStyle w:val="Listenabsatz"/>
        <w:rPr>
          <w:rFonts w:ascii="Arial" w:hAnsi="Arial"/>
        </w:rPr>
      </w:pPr>
    </w:p>
    <w:p w14:paraId="0A0DAE70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49E9C3D9" w14:textId="77777777" w:rsidR="00C033DE" w:rsidRDefault="00C033DE" w:rsidP="00C033DE">
      <w:pPr>
        <w:pStyle w:val="Listenabsatz"/>
        <w:rPr>
          <w:rFonts w:ascii="Arial" w:hAnsi="Arial"/>
        </w:rPr>
      </w:pPr>
    </w:p>
    <w:p w14:paraId="280B2869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4F1A100C" w14:textId="77777777" w:rsidR="002E112E" w:rsidRDefault="002E112E" w:rsidP="002E112E">
      <w:pPr>
        <w:pStyle w:val="Listenabsatz"/>
        <w:rPr>
          <w:rFonts w:ascii="Arial" w:hAnsi="Arial"/>
        </w:rPr>
      </w:pPr>
    </w:p>
    <w:p w14:paraId="35E67646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5543411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15B4AB74" w14:textId="77777777" w:rsidR="007505D4" w:rsidRPr="004A3CC7" w:rsidRDefault="007505D4" w:rsidP="007505D4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2718">
        <w:rPr>
          <w:rFonts w:ascii="Arial" w:hAnsi="Arial"/>
        </w:rPr>
        <w:t>Zusatz-Steckdosen</w:t>
      </w:r>
      <w:r w:rsidRPr="004A3CC7">
        <w:rPr>
          <w:rFonts w:ascii="Arial" w:hAnsi="Arial" w:cs="Arial"/>
          <w:szCs w:val="24"/>
        </w:rPr>
        <w:t>, verschiedene Einbauvarianten in</w:t>
      </w:r>
    </w:p>
    <w:p w14:paraId="4F22373D" w14:textId="77777777" w:rsidR="007505D4" w:rsidRPr="004A3CC7" w:rsidRDefault="007505D4" w:rsidP="007505D4">
      <w:pPr>
        <w:suppressAutoHyphens/>
        <w:ind w:left="720" w:right="3402"/>
        <w:rPr>
          <w:rFonts w:ascii="Arial" w:hAnsi="Arial" w:cs="Arial"/>
          <w:szCs w:val="24"/>
        </w:rPr>
      </w:pPr>
      <w:r w:rsidRPr="004A3CC7">
        <w:rPr>
          <w:rFonts w:ascii="Arial" w:hAnsi="Arial" w:cs="Arial"/>
          <w:szCs w:val="24"/>
        </w:rPr>
        <w:t>Unterbau und Seitenwangen möglich</w:t>
      </w:r>
    </w:p>
    <w:p w14:paraId="6EADFE8B" w14:textId="77777777" w:rsidR="007505D4" w:rsidRPr="004A3CC7" w:rsidRDefault="007505D4" w:rsidP="007505D4">
      <w:pPr>
        <w:suppressAutoHyphens/>
        <w:ind w:left="720" w:right="3402"/>
        <w:rPr>
          <w:rFonts w:ascii="Arial" w:hAnsi="Arial"/>
        </w:rPr>
      </w:pPr>
    </w:p>
    <w:p w14:paraId="240AFD1B" w14:textId="77777777" w:rsidR="007505D4" w:rsidRDefault="007505D4" w:rsidP="007505D4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Stromanschluss mit 400V 16A CEE-Stecker</w:t>
      </w:r>
    </w:p>
    <w:p w14:paraId="549CA9C8" w14:textId="77777777" w:rsidR="007505D4" w:rsidRDefault="007505D4" w:rsidP="007505D4">
      <w:pPr>
        <w:pStyle w:val="Listenabsatz"/>
        <w:rPr>
          <w:rFonts w:ascii="Arial" w:hAnsi="Arial"/>
        </w:rPr>
      </w:pPr>
    </w:p>
    <w:p w14:paraId="192A479C" w14:textId="77777777" w:rsidR="007505D4" w:rsidRPr="00192718" w:rsidRDefault="007505D4" w:rsidP="007505D4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</w:p>
    <w:p w14:paraId="14951921" w14:textId="58F02CE7" w:rsidR="009E5D74" w:rsidRDefault="009E5D74" w:rsidP="009E5D74">
      <w:pPr>
        <w:pStyle w:val="Listenabsatz"/>
        <w:rPr>
          <w:rFonts w:ascii="Arial" w:hAnsi="Arial"/>
        </w:rPr>
      </w:pPr>
    </w:p>
    <w:p w14:paraId="10F7909C" w14:textId="77777777" w:rsidR="007505D4" w:rsidRDefault="007505D4" w:rsidP="009E5D74">
      <w:pPr>
        <w:pStyle w:val="Listenabsatz"/>
        <w:rPr>
          <w:rFonts w:ascii="Arial" w:hAnsi="Arial"/>
        </w:rPr>
      </w:pPr>
    </w:p>
    <w:p w14:paraId="36F1C362" w14:textId="77777777" w:rsidR="009E5D74" w:rsidRDefault="009E5D74" w:rsidP="009E5D74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Lochdurchbruch in der Abdeckung zur Kabeldurchführung in den Unterbau. Lochdurchmesser 60 mm. Die Lochposition muss angegeben werden.</w:t>
      </w:r>
    </w:p>
    <w:p w14:paraId="73E14982" w14:textId="77777777" w:rsidR="009E5D74" w:rsidRDefault="009E5D74" w:rsidP="009E5D74">
      <w:pPr>
        <w:suppressAutoHyphens/>
        <w:ind w:left="720" w:right="3402"/>
        <w:rPr>
          <w:rFonts w:ascii="Arial" w:hAnsi="Arial"/>
        </w:rPr>
      </w:pPr>
    </w:p>
    <w:p w14:paraId="24CE084C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7765E1" w:rsidRPr="007765E1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7765E1" w:rsidRPr="007765E1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0F21200F" w14:textId="77777777" w:rsidR="00460AF8" w:rsidRDefault="00460AF8" w:rsidP="00460AF8">
      <w:pPr>
        <w:pStyle w:val="Listenabsatz"/>
        <w:rPr>
          <w:rFonts w:ascii="Arial" w:hAnsi="Arial"/>
        </w:rPr>
      </w:pPr>
    </w:p>
    <w:p w14:paraId="04D787C4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5B80130A" w14:textId="77777777" w:rsidR="003E3C32" w:rsidRDefault="003E3C32" w:rsidP="003E3C32">
      <w:pPr>
        <w:pStyle w:val="Listenabsatz"/>
        <w:rPr>
          <w:rFonts w:ascii="Arial" w:hAnsi="Arial"/>
        </w:rPr>
      </w:pPr>
    </w:p>
    <w:p w14:paraId="5B67403F" w14:textId="6BAD5942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E20CEA">
        <w:rPr>
          <w:rFonts w:ascii="Arial" w:hAnsi="Arial"/>
        </w:rPr>
        <w:t>.</w:t>
      </w:r>
      <w:r w:rsidR="00E20CEA" w:rsidRPr="00E20CEA">
        <w:rPr>
          <w:rFonts w:ascii="Arial" w:hAnsi="Arial"/>
        </w:rPr>
        <w:t xml:space="preserve"> </w:t>
      </w:r>
      <w:bookmarkStart w:id="2" w:name="_Hlk146635715"/>
      <w:r w:rsidR="00E20CEA" w:rsidRPr="00E20CEA">
        <w:rPr>
          <w:rFonts w:ascii="Arial" w:hAnsi="Arial"/>
        </w:rPr>
        <w:t>Der Abstand vom Fußboden zur Unterkante des Moduls beträgt dann ca. 160 mm.</w:t>
      </w:r>
      <w:bookmarkEnd w:id="2"/>
    </w:p>
    <w:p w14:paraId="23189405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0F34336" w14:textId="6953E270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E20CEA">
        <w:rPr>
          <w:rFonts w:ascii="Arial" w:hAnsi="Arial"/>
        </w:rPr>
        <w:t xml:space="preserve">. </w:t>
      </w:r>
      <w:r w:rsidR="00E20CEA" w:rsidRPr="00E20CEA">
        <w:rPr>
          <w:rFonts w:ascii="Arial" w:hAnsi="Arial"/>
        </w:rPr>
        <w:t>Der Abstand vom Fußboden zur Unterkante des Moduls beträgt dann ca. 94 – 114 mm</w:t>
      </w:r>
      <w:r w:rsidR="00E20CEA" w:rsidRPr="00E20CEA">
        <w:rPr>
          <w:rFonts w:ascii="Arial" w:hAnsi="Arial"/>
        </w:rPr>
        <w:t>.</w:t>
      </w:r>
    </w:p>
    <w:p w14:paraId="0F66155C" w14:textId="77777777" w:rsidR="002949FF" w:rsidRDefault="002949FF" w:rsidP="002949FF">
      <w:pPr>
        <w:pStyle w:val="Listenabsatz"/>
        <w:rPr>
          <w:rFonts w:ascii="Arial" w:hAnsi="Arial"/>
        </w:rPr>
      </w:pPr>
    </w:p>
    <w:p w14:paraId="5A4E1A60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0156C3CF" w14:textId="77777777" w:rsidR="00062E01" w:rsidRPr="007D4244" w:rsidRDefault="00062E01" w:rsidP="008077FB">
      <w:pPr>
        <w:suppressAutoHyphens/>
        <w:ind w:right="3402"/>
        <w:rPr>
          <w:rFonts w:ascii="Arial" w:hAnsi="Arial"/>
        </w:rPr>
      </w:pPr>
    </w:p>
    <w:p w14:paraId="78A29FC8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11D8B5B8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41C00ED0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00051988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5EB13352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4F0AC47B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6B207567" w14:textId="77777777" w:rsidR="00763184" w:rsidRDefault="008B4D60" w:rsidP="00763184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ca. 6</w:t>
      </w:r>
      <w:r w:rsidR="00763184">
        <w:rPr>
          <w:rFonts w:ascii="Arial" w:hAnsi="Arial" w:cs="Arial"/>
        </w:rPr>
        <w:t>5 kg (ohne Optionen)</w:t>
      </w:r>
    </w:p>
    <w:p w14:paraId="5744DEA3" w14:textId="77777777" w:rsidR="00763184" w:rsidRPr="004350FB" w:rsidRDefault="00763184" w:rsidP="00763184">
      <w:pPr>
        <w:ind w:right="3402"/>
        <w:rPr>
          <w:rFonts w:ascii="Arial" w:hAnsi="Arial" w:cs="Arial"/>
        </w:rPr>
      </w:pPr>
      <w:r w:rsidRPr="004350FB">
        <w:rPr>
          <w:rFonts w:ascii="Arial" w:hAnsi="Arial" w:cs="Arial"/>
        </w:rPr>
        <w:t>Kapazität: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analog </w:t>
      </w:r>
      <w:r w:rsidR="008B4D6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50FB">
        <w:rPr>
          <w:rFonts w:ascii="Arial" w:hAnsi="Arial" w:cs="Arial"/>
        </w:rPr>
        <w:t xml:space="preserve">x GN 1/1 </w:t>
      </w:r>
    </w:p>
    <w:p w14:paraId="081DF48D" w14:textId="77777777" w:rsidR="00763184" w:rsidRDefault="00763184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t>Anschlusswert:</w:t>
      </w:r>
      <w:r>
        <w:rPr>
          <w:rFonts w:ascii="Arial" w:hAnsi="Arial" w:cs="Arial"/>
        </w:rPr>
        <w:tab/>
        <w:t>---</w:t>
      </w:r>
    </w:p>
    <w:p w14:paraId="003B76D4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44A5FF0" w14:textId="77777777" w:rsidR="00F45E59" w:rsidRDefault="00C21A08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 xml:space="preserve">Der Anschlusswert des Moduls </w:t>
      </w:r>
      <w:r w:rsidR="0094781B">
        <w:rPr>
          <w:rFonts w:ascii="Arial" w:hAnsi="Arial"/>
          <w:i/>
        </w:rPr>
        <w:t>hängt vom optionalen Zubehör ab.</w:t>
      </w:r>
    </w:p>
    <w:p w14:paraId="344F2127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AB7A866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52C432CC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BDDA742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11665F14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1F5A3C6A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63CC602F" w14:textId="77777777" w:rsidR="008077FB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3292D553" w14:textId="77777777" w:rsidR="00264F64" w:rsidRPr="0094781B" w:rsidRDefault="00264F64" w:rsidP="00264F64">
      <w:pPr>
        <w:suppressAutoHyphens/>
        <w:ind w:left="720" w:right="3402"/>
        <w:rPr>
          <w:rFonts w:ascii="Arial" w:hAnsi="Arial"/>
        </w:rPr>
      </w:pPr>
    </w:p>
    <w:p w14:paraId="2539758D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85F5626" w14:textId="77777777" w:rsidR="00B34498" w:rsidRPr="007D4244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7D4244">
        <w:rPr>
          <w:rFonts w:ascii="Arial" w:hAnsi="Arial"/>
          <w:b/>
          <w:u w:val="single"/>
          <w:lang w:val="en-US"/>
        </w:rPr>
        <w:t>Fabrikat</w:t>
      </w:r>
      <w:proofErr w:type="spellEnd"/>
      <w:r w:rsidRPr="007D4244">
        <w:rPr>
          <w:rFonts w:ascii="Arial" w:hAnsi="Arial"/>
          <w:b/>
          <w:u w:val="single"/>
          <w:lang w:val="en-US"/>
        </w:rPr>
        <w:t>:</w:t>
      </w:r>
    </w:p>
    <w:p w14:paraId="6C78C4EC" w14:textId="77777777" w:rsidR="00B34498" w:rsidRPr="007D4244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702778C2" w14:textId="77777777" w:rsidR="00B34498" w:rsidRPr="007D4244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7D4244">
        <w:rPr>
          <w:rFonts w:ascii="Arial" w:hAnsi="Arial"/>
          <w:lang w:val="en-US"/>
        </w:rPr>
        <w:t>Hersteller</w:t>
      </w:r>
      <w:proofErr w:type="spellEnd"/>
      <w:r w:rsidR="000D49F8" w:rsidRPr="007D4244">
        <w:rPr>
          <w:rFonts w:ascii="Arial" w:hAnsi="Arial"/>
          <w:lang w:val="en-US"/>
        </w:rPr>
        <w:t>:</w:t>
      </w:r>
      <w:r w:rsidR="000D49F8" w:rsidRPr="007D4244">
        <w:rPr>
          <w:rFonts w:ascii="Arial" w:hAnsi="Arial"/>
          <w:lang w:val="en-US"/>
        </w:rPr>
        <w:tab/>
      </w:r>
      <w:r w:rsidR="000D49F8" w:rsidRPr="007D4244">
        <w:rPr>
          <w:rFonts w:ascii="Arial" w:hAnsi="Arial"/>
          <w:lang w:val="en-US"/>
        </w:rPr>
        <w:tab/>
      </w:r>
      <w:r w:rsidR="007765E1" w:rsidRPr="007D4244">
        <w:rPr>
          <w:rFonts w:ascii="Arial" w:hAnsi="Arial"/>
          <w:lang w:val="en-US"/>
        </w:rPr>
        <w:t>B.PRO</w:t>
      </w:r>
    </w:p>
    <w:p w14:paraId="3550A164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763184" w:rsidRPr="00763184">
        <w:rPr>
          <w:rFonts w:ascii="Arial" w:hAnsi="Arial"/>
          <w:lang w:val="en-GB"/>
        </w:rPr>
        <w:t>N</w:t>
      </w:r>
      <w:r w:rsidR="00351EF1" w:rsidRPr="00763184">
        <w:rPr>
          <w:rFonts w:ascii="Arial" w:hAnsi="Arial"/>
          <w:lang w:val="en-GB"/>
        </w:rPr>
        <w:t>-</w:t>
      </w:r>
      <w:r w:rsidR="008B4D60">
        <w:rPr>
          <w:rFonts w:ascii="Arial" w:hAnsi="Arial"/>
          <w:lang w:val="en-GB"/>
        </w:rPr>
        <w:t>4</w:t>
      </w:r>
    </w:p>
    <w:p w14:paraId="714C36FE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8B4D60">
        <w:rPr>
          <w:rFonts w:ascii="Arial" w:hAnsi="Arial"/>
          <w:lang w:val="en-GB"/>
        </w:rPr>
        <w:t>381 884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E365" w14:textId="77777777" w:rsidR="00E93FF6" w:rsidRDefault="00E93FF6">
      <w:r>
        <w:separator/>
      </w:r>
    </w:p>
  </w:endnote>
  <w:endnote w:type="continuationSeparator" w:id="0">
    <w:p w14:paraId="7D23CFBB" w14:textId="77777777" w:rsidR="00E93FF6" w:rsidRDefault="00E9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C99A" w14:textId="42B2BB6C" w:rsidR="00F059E3" w:rsidRPr="00E20CEA" w:rsidRDefault="00F059E3">
    <w:pPr>
      <w:pStyle w:val="Fuzeile"/>
      <w:rPr>
        <w:rFonts w:ascii="Arial" w:hAnsi="Arial" w:cs="Arial"/>
        <w:sz w:val="16"/>
        <w:szCs w:val="16"/>
      </w:rPr>
    </w:pPr>
    <w:r w:rsidRPr="00E20CEA">
      <w:rPr>
        <w:rFonts w:ascii="Arial" w:hAnsi="Arial" w:cs="Arial"/>
        <w:sz w:val="16"/>
        <w:szCs w:val="16"/>
      </w:rPr>
      <w:t>L</w:t>
    </w:r>
    <w:r w:rsidR="00163B3F" w:rsidRPr="00E20CEA">
      <w:rPr>
        <w:rFonts w:ascii="Arial" w:hAnsi="Arial" w:cs="Arial"/>
        <w:sz w:val="16"/>
        <w:szCs w:val="16"/>
      </w:rPr>
      <w:t xml:space="preserve">V-Text BASIC LINE </w:t>
    </w:r>
    <w:r w:rsidR="00763184" w:rsidRPr="00E20CEA">
      <w:rPr>
        <w:rFonts w:ascii="Arial" w:hAnsi="Arial" w:cs="Arial"/>
        <w:sz w:val="16"/>
        <w:szCs w:val="16"/>
      </w:rPr>
      <w:t>N</w:t>
    </w:r>
    <w:r w:rsidR="008B4D60" w:rsidRPr="00E20CEA">
      <w:rPr>
        <w:rFonts w:ascii="Arial" w:hAnsi="Arial" w:cs="Arial"/>
        <w:sz w:val="16"/>
        <w:szCs w:val="16"/>
      </w:rPr>
      <w:t>-4</w:t>
    </w:r>
    <w:r w:rsidR="00163B3F" w:rsidRPr="00E20CEA">
      <w:rPr>
        <w:rFonts w:ascii="Arial" w:hAnsi="Arial" w:cs="Arial"/>
        <w:sz w:val="16"/>
        <w:szCs w:val="16"/>
      </w:rPr>
      <w:t xml:space="preserve"> </w:t>
    </w:r>
    <w:r w:rsidRPr="00E20CEA">
      <w:rPr>
        <w:rFonts w:ascii="Arial" w:hAnsi="Arial" w:cs="Arial"/>
        <w:sz w:val="16"/>
        <w:szCs w:val="16"/>
      </w:rPr>
      <w:t xml:space="preserve">/ Version </w:t>
    </w:r>
    <w:r w:rsidR="00E20CEA" w:rsidRPr="00E20CEA">
      <w:rPr>
        <w:rFonts w:ascii="Arial" w:hAnsi="Arial" w:cs="Arial"/>
        <w:sz w:val="16"/>
        <w:szCs w:val="16"/>
      </w:rPr>
      <w:t>5</w:t>
    </w:r>
    <w:r w:rsidRPr="00E20CEA">
      <w:rPr>
        <w:rFonts w:ascii="Arial" w:hAnsi="Arial" w:cs="Arial"/>
        <w:sz w:val="16"/>
        <w:szCs w:val="16"/>
      </w:rPr>
      <w:t xml:space="preserve">.0 / </w:t>
    </w:r>
    <w:r w:rsidR="00E20CEA" w:rsidRPr="00E20CEA">
      <w:rPr>
        <w:rFonts w:ascii="Arial" w:hAnsi="Arial" w:cs="Arial"/>
        <w:sz w:val="16"/>
        <w:szCs w:val="16"/>
      </w:rPr>
      <w:t>J. Sanwa</w:t>
    </w:r>
    <w:r w:rsidR="00E20CEA">
      <w:rPr>
        <w:rFonts w:ascii="Arial" w:hAnsi="Arial" w:cs="Arial"/>
        <w:sz w:val="16"/>
        <w:szCs w:val="16"/>
      </w:rPr>
      <w:t>ld</w:t>
    </w:r>
    <w:r w:rsidRPr="00E20CEA">
      <w:rPr>
        <w:rFonts w:ascii="Arial" w:hAnsi="Arial" w:cs="Arial"/>
        <w:sz w:val="16"/>
        <w:szCs w:val="16"/>
      </w:rPr>
      <w:tab/>
    </w:r>
    <w:r w:rsidR="00E20CE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  <w:r w:rsidRPr="00E20CEA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E20CEA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05D77" w:rsidRPr="00E20CE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E20CEA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E20CEA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05D77" w:rsidRPr="00E20CE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E20CEA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9AEC" w14:textId="77777777" w:rsidR="00E93FF6" w:rsidRDefault="00E93FF6">
      <w:r>
        <w:separator/>
      </w:r>
    </w:p>
  </w:footnote>
  <w:footnote w:type="continuationSeparator" w:id="0">
    <w:p w14:paraId="660566F0" w14:textId="77777777" w:rsidR="00E93FF6" w:rsidRDefault="00E9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2051044">
    <w:abstractNumId w:val="2"/>
  </w:num>
  <w:num w:numId="2" w16cid:durableId="1904290616">
    <w:abstractNumId w:val="18"/>
  </w:num>
  <w:num w:numId="3" w16cid:durableId="489566692">
    <w:abstractNumId w:val="3"/>
  </w:num>
  <w:num w:numId="4" w16cid:durableId="1283152523">
    <w:abstractNumId w:val="20"/>
  </w:num>
  <w:num w:numId="5" w16cid:durableId="1378358793">
    <w:abstractNumId w:val="5"/>
  </w:num>
  <w:num w:numId="6" w16cid:durableId="431627491">
    <w:abstractNumId w:val="10"/>
  </w:num>
  <w:num w:numId="7" w16cid:durableId="660038029">
    <w:abstractNumId w:val="14"/>
  </w:num>
  <w:num w:numId="8" w16cid:durableId="27074874">
    <w:abstractNumId w:val="0"/>
  </w:num>
  <w:num w:numId="9" w16cid:durableId="147325478">
    <w:abstractNumId w:val="6"/>
  </w:num>
  <w:num w:numId="10" w16cid:durableId="784153783">
    <w:abstractNumId w:val="11"/>
  </w:num>
  <w:num w:numId="11" w16cid:durableId="1528639294">
    <w:abstractNumId w:val="15"/>
  </w:num>
  <w:num w:numId="12" w16cid:durableId="1255743282">
    <w:abstractNumId w:val="7"/>
  </w:num>
  <w:num w:numId="13" w16cid:durableId="1336764663">
    <w:abstractNumId w:val="1"/>
  </w:num>
  <w:num w:numId="14" w16cid:durableId="1329282559">
    <w:abstractNumId w:val="22"/>
  </w:num>
  <w:num w:numId="15" w16cid:durableId="806241657">
    <w:abstractNumId w:val="13"/>
  </w:num>
  <w:num w:numId="16" w16cid:durableId="648944933">
    <w:abstractNumId w:val="12"/>
  </w:num>
  <w:num w:numId="17" w16cid:durableId="749615023">
    <w:abstractNumId w:val="17"/>
  </w:num>
  <w:num w:numId="18" w16cid:durableId="429394070">
    <w:abstractNumId w:val="19"/>
  </w:num>
  <w:num w:numId="19" w16cid:durableId="1015226080">
    <w:abstractNumId w:val="4"/>
  </w:num>
  <w:num w:numId="20" w16cid:durableId="1497382119">
    <w:abstractNumId w:val="16"/>
  </w:num>
  <w:num w:numId="21" w16cid:durableId="1312441402">
    <w:abstractNumId w:val="8"/>
  </w:num>
  <w:num w:numId="22" w16cid:durableId="1657605612">
    <w:abstractNumId w:val="9"/>
  </w:num>
  <w:num w:numId="23" w16cid:durableId="1684940150">
    <w:abstractNumId w:val="21"/>
  </w:num>
  <w:num w:numId="24" w16cid:durableId="2004042100">
    <w:abstractNumId w:val="4"/>
  </w:num>
  <w:num w:numId="25" w16cid:durableId="1906143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5D77"/>
    <w:rsid w:val="00107F96"/>
    <w:rsid w:val="00120239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23F4B"/>
    <w:rsid w:val="00240573"/>
    <w:rsid w:val="002430A8"/>
    <w:rsid w:val="0026332F"/>
    <w:rsid w:val="00264496"/>
    <w:rsid w:val="00264F64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0B75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4653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505D4"/>
    <w:rsid w:val="00763184"/>
    <w:rsid w:val="007751AF"/>
    <w:rsid w:val="007765E1"/>
    <w:rsid w:val="00790355"/>
    <w:rsid w:val="007A7EF0"/>
    <w:rsid w:val="007B2507"/>
    <w:rsid w:val="007B52F9"/>
    <w:rsid w:val="007D4244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B4D60"/>
    <w:rsid w:val="008C65C9"/>
    <w:rsid w:val="008E27E7"/>
    <w:rsid w:val="008E39C0"/>
    <w:rsid w:val="008F6886"/>
    <w:rsid w:val="00903B6D"/>
    <w:rsid w:val="00924CF7"/>
    <w:rsid w:val="00931048"/>
    <w:rsid w:val="00937CD9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E5D74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0CEA"/>
    <w:rsid w:val="00E24427"/>
    <w:rsid w:val="00E251C7"/>
    <w:rsid w:val="00E32941"/>
    <w:rsid w:val="00E32A36"/>
    <w:rsid w:val="00E33199"/>
    <w:rsid w:val="00E45841"/>
    <w:rsid w:val="00E47DBA"/>
    <w:rsid w:val="00E6107C"/>
    <w:rsid w:val="00E93FF6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72CE8A5"/>
  <w15:chartTrackingRefBased/>
  <w15:docId w15:val="{85B15F15-8E10-44C7-BB61-13D393BE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852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4</cp:revision>
  <cp:lastPrinted>2015-10-07T12:05:00Z</cp:lastPrinted>
  <dcterms:created xsi:type="dcterms:W3CDTF">2022-01-03T10:09:00Z</dcterms:created>
  <dcterms:modified xsi:type="dcterms:W3CDTF">2023-09-26T13:55:00Z</dcterms:modified>
</cp:coreProperties>
</file>