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3F9C" w14:textId="77777777" w:rsidR="00DD203F" w:rsidRDefault="00DD203F" w:rsidP="00DD203F">
      <w:pPr>
        <w:pStyle w:val="berschrift1"/>
        <w:ind w:right="-283"/>
      </w:pPr>
      <w:r>
        <w:rPr>
          <w:rStyle w:val="berschrift1"/>
        </w:rPr>
        <w:t>Chariot de transport de plateaux en version à double paroi TTW 40 U H1</w:t>
      </w:r>
    </w:p>
    <w:p w14:paraId="69E3FBF1" w14:textId="77777777" w:rsidR="00DD203F" w:rsidRDefault="00DD203F">
      <w:pPr>
        <w:pStyle w:val="Kopfzeile"/>
        <w:tabs>
          <w:tab w:val="clear" w:pos="4536"/>
          <w:tab w:val="clear" w:pos="9072"/>
          <w:tab w:val="left" w:pos="2552"/>
        </w:tabs>
      </w:pPr>
    </w:p>
    <w:p w14:paraId="6A453633" w14:textId="77777777" w:rsidR="00DD203F" w:rsidRDefault="00DD203F">
      <w:pPr>
        <w:tabs>
          <w:tab w:val="left" w:pos="1701"/>
        </w:tabs>
        <w:ind w:left="283" w:right="-283" w:hanging="283"/>
        <w:rPr>
          <w:b/>
        </w:rPr>
      </w:pPr>
      <w:r>
        <w:rPr>
          <w:rStyle w:val="Standard"/>
          <w:b/>
        </w:rPr>
        <w:t>Dimensions</w:t>
      </w:r>
    </w:p>
    <w:p w14:paraId="7C3D20B5" w14:textId="77777777" w:rsidR="00DD203F" w:rsidRDefault="00DD203F">
      <w:pPr>
        <w:tabs>
          <w:tab w:val="left" w:pos="2552"/>
        </w:tabs>
      </w:pPr>
    </w:p>
    <w:p w14:paraId="501CCC52" w14:textId="77777777" w:rsidR="00DD203F" w:rsidRDefault="00DD203F">
      <w:pPr>
        <w:tabs>
          <w:tab w:val="left" w:pos="2552"/>
        </w:tabs>
        <w:ind w:left="283" w:right="-283" w:hanging="283"/>
      </w:pPr>
      <w:r>
        <w:rPr>
          <w:rStyle w:val="Standard"/>
        </w:rPr>
        <w:t>Longueur:</w:t>
      </w:r>
      <w:r>
        <w:rPr>
          <w:rStyle w:val="Standard"/>
        </w:rPr>
        <w:tab/>
        <w:t xml:space="preserve"> 1375</w:t>
      </w:r>
      <w:r>
        <w:rPr>
          <w:rStyle w:val="Standard"/>
        </w:rPr>
        <w:tab/>
        <w:t>mm</w:t>
      </w:r>
    </w:p>
    <w:p w14:paraId="7BD73655" w14:textId="77777777" w:rsidR="00DD203F" w:rsidRDefault="00DD203F">
      <w:pPr>
        <w:pStyle w:val="Kopfzeile"/>
        <w:tabs>
          <w:tab w:val="clear" w:pos="4536"/>
          <w:tab w:val="clear" w:pos="9072"/>
          <w:tab w:val="left" w:pos="2552"/>
        </w:tabs>
      </w:pPr>
      <w:r>
        <w:rPr>
          <w:rStyle w:val="Kopfzeile"/>
        </w:rPr>
        <w:t>Largeur:</w:t>
      </w:r>
      <w:r>
        <w:rPr>
          <w:rStyle w:val="Kopfzeile"/>
        </w:rPr>
        <w:tab/>
        <w:t xml:space="preserve">  902</w:t>
      </w:r>
      <w:r>
        <w:rPr>
          <w:rStyle w:val="Kopfzeile"/>
        </w:rPr>
        <w:tab/>
        <w:t>mm</w:t>
      </w:r>
    </w:p>
    <w:p w14:paraId="0A4C6533" w14:textId="77777777" w:rsidR="00DD203F" w:rsidRDefault="00DD203F">
      <w:pPr>
        <w:tabs>
          <w:tab w:val="left" w:pos="2552"/>
        </w:tabs>
      </w:pPr>
      <w:r>
        <w:rPr>
          <w:rStyle w:val="Standard"/>
        </w:rPr>
        <w:t>Hauteur:</w:t>
      </w:r>
      <w:r>
        <w:rPr>
          <w:rStyle w:val="Standard"/>
        </w:rPr>
        <w:tab/>
        <w:t xml:space="preserve"> 1544</w:t>
      </w:r>
      <w:r>
        <w:rPr>
          <w:rStyle w:val="Standard"/>
        </w:rPr>
        <w:tab/>
        <w:t>mm</w:t>
      </w:r>
    </w:p>
    <w:p w14:paraId="2FD314FE" w14:textId="77777777" w:rsidR="00DD203F" w:rsidRDefault="00DD203F">
      <w:pPr>
        <w:tabs>
          <w:tab w:val="left" w:pos="2552"/>
        </w:tabs>
      </w:pPr>
    </w:p>
    <w:p w14:paraId="4FD92858" w14:textId="77777777" w:rsidR="00DD203F" w:rsidRDefault="00DD203F">
      <w:pPr>
        <w:tabs>
          <w:tab w:val="left" w:pos="2552"/>
        </w:tabs>
      </w:pPr>
    </w:p>
    <w:p w14:paraId="58ED8A2A" w14:textId="77777777" w:rsidR="00DD203F" w:rsidRDefault="00DD203F">
      <w:pPr>
        <w:tabs>
          <w:tab w:val="left" w:pos="1701"/>
        </w:tabs>
        <w:ind w:right="-425"/>
        <w:rPr>
          <w:b/>
        </w:rPr>
      </w:pPr>
      <w:r>
        <w:rPr>
          <w:rStyle w:val="Standard"/>
          <w:b/>
        </w:rPr>
        <w:t>Version</w:t>
      </w:r>
    </w:p>
    <w:p w14:paraId="2BDA5110" w14:textId="77777777" w:rsidR="00DD203F" w:rsidRDefault="00DD203F">
      <w:pPr>
        <w:pStyle w:val="Kopfzeile"/>
        <w:tabs>
          <w:tab w:val="clear" w:pos="4536"/>
          <w:tab w:val="clear" w:pos="9072"/>
          <w:tab w:val="left" w:pos="2552"/>
        </w:tabs>
        <w:ind w:right="-425"/>
      </w:pPr>
    </w:p>
    <w:p w14:paraId="7164AA8D" w14:textId="77777777" w:rsidR="00DD203F" w:rsidRDefault="00DD203F">
      <w:pPr>
        <w:pStyle w:val="Kopfzeile"/>
        <w:tabs>
          <w:tab w:val="clear" w:pos="4536"/>
          <w:tab w:val="clear" w:pos="9072"/>
          <w:tab w:val="left" w:pos="2552"/>
        </w:tabs>
        <w:ind w:right="-425"/>
        <w:rPr>
          <w:b/>
        </w:rPr>
      </w:pPr>
      <w:r>
        <w:rPr>
          <w:rStyle w:val="Kopfzeile"/>
          <w:b/>
        </w:rPr>
        <w:t>Construction</w:t>
      </w:r>
    </w:p>
    <w:p w14:paraId="3DEFD7F6" w14:textId="77777777" w:rsidR="00DD203F" w:rsidRDefault="00DD203F">
      <w:pPr>
        <w:pStyle w:val="Kopfzeile"/>
        <w:tabs>
          <w:tab w:val="clear" w:pos="4536"/>
          <w:tab w:val="clear" w:pos="9072"/>
          <w:tab w:val="left" w:pos="2552"/>
        </w:tabs>
        <w:ind w:right="-425"/>
        <w:rPr>
          <w:b/>
        </w:rPr>
      </w:pPr>
    </w:p>
    <w:p w14:paraId="353CD235" w14:textId="77777777" w:rsidR="00DD203F" w:rsidRPr="002274FE" w:rsidRDefault="00DD203F" w:rsidP="00DD203F">
      <w:pPr>
        <w:pStyle w:val="Kopfzeile"/>
        <w:tabs>
          <w:tab w:val="clear" w:pos="4536"/>
          <w:tab w:val="clear" w:pos="9072"/>
          <w:tab w:val="left" w:pos="2552"/>
        </w:tabs>
        <w:ind w:right="-425"/>
      </w:pPr>
      <w:r>
        <w:rPr>
          <w:rStyle w:val="Kopfzeile"/>
        </w:rPr>
        <w:t>Le corps de chariot est fermé de tous les côtés et réalisé complètement en acier inoxydable. La surface est microlisée. Le groupe de fond est renforcé à la face inférieure par des profilés longitudinaux et transversaux. Les portes sont à double paroi, entièrement soudées et isolées à l'aide de plaques de mousse de polystyrène rigide. Le corps intérieur et le corps extérieur sont reliés verticalement par des profilés en matière plastique et découplés thermiquement.</w:t>
      </w:r>
    </w:p>
    <w:p w14:paraId="79590CEC" w14:textId="77777777" w:rsidR="00DD203F" w:rsidRDefault="00DD203F">
      <w:pPr>
        <w:pStyle w:val="Kopfzeile"/>
        <w:tabs>
          <w:tab w:val="clear" w:pos="4536"/>
          <w:tab w:val="clear" w:pos="9072"/>
          <w:tab w:val="left" w:pos="2552"/>
        </w:tabs>
        <w:ind w:right="-425"/>
      </w:pPr>
      <w:r>
        <w:rPr>
          <w:rStyle w:val="Kopfzeile"/>
        </w:rPr>
        <w:t>L'espace intérieur est réalisé en exécution hygiène H1 selon DIN 18865. 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ou Gastronorm (530 x 325 mm) en insertion transversale. La forme de construction autoportante garantit une utilisation sans problème en exploitation à l'extérieur et domestique.</w:t>
      </w:r>
    </w:p>
    <w:p w14:paraId="6851B97C" w14:textId="77777777" w:rsidR="00DD203F" w:rsidRDefault="00DD203F" w:rsidP="00DD203F">
      <w:pPr>
        <w:pStyle w:val="Kopfzeile"/>
        <w:tabs>
          <w:tab w:val="clear" w:pos="4536"/>
          <w:tab w:val="clear" w:pos="9072"/>
          <w:tab w:val="left" w:pos="2552"/>
        </w:tabs>
        <w:ind w:right="-425"/>
      </w:pPr>
      <w:r>
        <w:rPr>
          <w:rStyle w:val="Kopfzeile"/>
        </w:rP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2245BEB6" w14:textId="77777777" w:rsidR="00DD203F" w:rsidRDefault="00CB7AC0" w:rsidP="00DD203F">
      <w:pPr>
        <w:pStyle w:val="Kopfzeile"/>
        <w:tabs>
          <w:tab w:val="clear" w:pos="4536"/>
          <w:tab w:val="clear" w:pos="9072"/>
          <w:tab w:val="left" w:pos="2552"/>
        </w:tabs>
        <w:ind w:right="-425"/>
      </w:pPr>
      <w:r>
        <w:rPr>
          <w:rStyle w:val="Kopfzeile"/>
        </w:rPr>
        <w:br w:type="column"/>
      </w:r>
      <w:r w:rsidR="00DD203F">
        <w:rPr>
          <w:rStyle w:val="Kopfzeile"/>
        </w:rPr>
        <w:lastRenderedPageBreak/>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68B21ED6" w14:textId="77777777" w:rsidR="00DD203F" w:rsidRDefault="00DD203F" w:rsidP="00DD203F">
      <w:pPr>
        <w:pStyle w:val="Kopfzeile"/>
        <w:tabs>
          <w:tab w:val="clear" w:pos="4536"/>
          <w:tab w:val="clear" w:pos="9072"/>
          <w:tab w:val="left" w:pos="2552"/>
        </w:tabs>
        <w:ind w:right="-425"/>
      </w:pPr>
    </w:p>
    <w:p w14:paraId="1455E5F7" w14:textId="77777777" w:rsidR="00DD203F" w:rsidRDefault="00DD203F">
      <w:pPr>
        <w:pStyle w:val="Textkrper"/>
        <w:ind w:right="-425"/>
        <w:jc w:val="left"/>
        <w:rPr>
          <w:b/>
          <w:color w:val="000000"/>
        </w:rPr>
      </w:pPr>
      <w:r>
        <w:rPr>
          <w:rStyle w:val="Textkrper"/>
          <w:b/>
          <w:color w:val="000000"/>
        </w:rPr>
        <w:t>Utilisation/ergonomie</w:t>
      </w:r>
    </w:p>
    <w:p w14:paraId="3E63EFA0" w14:textId="77777777" w:rsidR="00DD203F" w:rsidRDefault="00DD203F">
      <w:pPr>
        <w:pStyle w:val="Textkrper"/>
        <w:ind w:right="-425"/>
        <w:jc w:val="left"/>
        <w:rPr>
          <w:b/>
          <w:color w:val="000000"/>
        </w:rPr>
      </w:pPr>
    </w:p>
    <w:p w14:paraId="1AEC9E20" w14:textId="77777777" w:rsidR="00DD203F" w:rsidRPr="002274FE" w:rsidRDefault="00DD203F">
      <w:pPr>
        <w:pStyle w:val="Textkrper"/>
        <w:ind w:right="-425"/>
        <w:jc w:val="left"/>
        <w:rPr>
          <w:color w:val="000000"/>
        </w:rPr>
      </w:pPr>
      <w:r>
        <w:rPr>
          <w:rStyle w:val="Textkrper"/>
          <w:color w:val="000000"/>
        </w:rPr>
        <w:t>Le chariot de transport de plateaux est conçu pour le transport de repas portionnés sur plateaux.</w:t>
      </w:r>
    </w:p>
    <w:p w14:paraId="027AF2AB" w14:textId="77777777" w:rsidR="00DD203F" w:rsidRDefault="00DD203F">
      <w:pPr>
        <w:pStyle w:val="Textkrper"/>
        <w:ind w:right="-425"/>
        <w:jc w:val="left"/>
        <w:rPr>
          <w:color w:val="000000"/>
        </w:rPr>
      </w:pPr>
      <w:r>
        <w:rPr>
          <w:rStyle w:val="Textkrper"/>
          <w:color w:val="000000"/>
        </w:rPr>
        <w:t>Il est équipé d'une protection périphérique fraisée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41BC30B6" w14:textId="77777777" w:rsidR="00DD203F" w:rsidRDefault="00DD203F">
      <w:pPr>
        <w:pStyle w:val="Textkrper"/>
        <w:ind w:right="-425"/>
        <w:jc w:val="left"/>
        <w:rPr>
          <w:color w:val="000000"/>
        </w:rPr>
      </w:pPr>
      <w:r>
        <w:rPr>
          <w:rStyle w:val="Textkrper"/>
          <w:color w:val="000000"/>
        </w:rPr>
        <w:t xml:space="preserve">Le chariot de transport de plateaux est roulant à l'aide de 2 roues fixes et de 2 roues pivotantes avec frein, </w:t>
      </w:r>
      <w:r w:rsidR="001E2EBC">
        <w:rPr>
          <w:rStyle w:val="Textkrper"/>
          <w:color w:val="000000"/>
        </w:rPr>
        <w:br/>
      </w:r>
      <w:r>
        <w:rPr>
          <w:rStyle w:val="Textkrper"/>
          <w:color w:val="000000"/>
        </w:rPr>
        <w:t>Ø 160 mm, carter en acier galvanisé.</w:t>
      </w:r>
    </w:p>
    <w:p w14:paraId="6BA57E7F" w14:textId="77777777" w:rsidR="00DD203F" w:rsidRDefault="00DD203F">
      <w:pPr>
        <w:pStyle w:val="Textkrper"/>
        <w:ind w:right="-425"/>
        <w:jc w:val="left"/>
        <w:rPr>
          <w:color w:val="000000"/>
        </w:rPr>
      </w:pPr>
    </w:p>
    <w:p w14:paraId="46F2D0D0" w14:textId="77777777" w:rsidR="00DD203F" w:rsidRDefault="00DD203F">
      <w:pPr>
        <w:pStyle w:val="Textkrper"/>
        <w:ind w:right="-425"/>
        <w:jc w:val="left"/>
        <w:rPr>
          <w:color w:val="000000"/>
        </w:rPr>
      </w:pPr>
    </w:p>
    <w:p w14:paraId="6C418D02" w14:textId="77777777" w:rsidR="00DD203F" w:rsidRDefault="00DD203F">
      <w:pPr>
        <w:pStyle w:val="berschrift3"/>
        <w:tabs>
          <w:tab w:val="clear" w:pos="1701"/>
          <w:tab w:val="left" w:pos="-720"/>
          <w:tab w:val="left" w:pos="2552"/>
          <w:tab w:val="left" w:pos="2835"/>
          <w:tab w:val="left" w:pos="3402"/>
          <w:tab w:val="left" w:pos="6912"/>
        </w:tabs>
        <w:suppressAutoHyphens/>
        <w:ind w:right="-283"/>
      </w:pPr>
      <w:r>
        <w:rPr>
          <w:rStyle w:val="berschrift3"/>
        </w:rPr>
        <w:t>Particularité</w:t>
      </w:r>
    </w:p>
    <w:p w14:paraId="29CB7093" w14:textId="77777777" w:rsidR="00DD203F" w:rsidRDefault="00DD203F">
      <w:pPr>
        <w:tabs>
          <w:tab w:val="left" w:pos="2552"/>
          <w:tab w:val="left" w:pos="5670"/>
        </w:tabs>
        <w:ind w:right="-425"/>
      </w:pPr>
    </w:p>
    <w:p w14:paraId="7CAA9223" w14:textId="77777777" w:rsidR="00DD203F" w:rsidRDefault="00DD203F" w:rsidP="00DD203F">
      <w:pPr>
        <w:numPr>
          <w:ilvl w:val="0"/>
          <w:numId w:val="15"/>
        </w:numPr>
        <w:tabs>
          <w:tab w:val="left" w:pos="-720"/>
          <w:tab w:val="left" w:pos="2835"/>
          <w:tab w:val="left" w:pos="3402"/>
          <w:tab w:val="left" w:pos="6912"/>
        </w:tabs>
        <w:suppressAutoHyphens/>
        <w:ind w:right="-283"/>
      </w:pPr>
      <w:r>
        <w:rPr>
          <w:rStyle w:val="Standard"/>
        </w:rPr>
        <w:t>Fermetures de portes à fermeture automatique avec sécurité de transport intégrée</w:t>
      </w:r>
    </w:p>
    <w:p w14:paraId="36B547A5" w14:textId="77777777" w:rsidR="00DD203F" w:rsidRDefault="00DD203F" w:rsidP="00DD203F">
      <w:pPr>
        <w:numPr>
          <w:ilvl w:val="0"/>
          <w:numId w:val="15"/>
        </w:numPr>
        <w:tabs>
          <w:tab w:val="left" w:pos="-720"/>
          <w:tab w:val="left" w:pos="2835"/>
          <w:tab w:val="left" w:pos="3402"/>
          <w:tab w:val="left" w:pos="6912"/>
        </w:tabs>
        <w:suppressAutoHyphens/>
        <w:ind w:right="-283"/>
      </w:pPr>
      <w:r>
        <w:rPr>
          <w:rStyle w:val="Standard"/>
        </w:rPr>
        <w:t>Portes avec profil d'étanchéité périphérique amovible</w:t>
      </w:r>
    </w:p>
    <w:p w14:paraId="638A5364" w14:textId="77777777" w:rsidR="00DD203F" w:rsidRPr="002274FE" w:rsidRDefault="00DD203F" w:rsidP="00DD203F">
      <w:pPr>
        <w:numPr>
          <w:ilvl w:val="0"/>
          <w:numId w:val="15"/>
        </w:numPr>
        <w:tabs>
          <w:tab w:val="left" w:pos="-720"/>
          <w:tab w:val="left" w:pos="2835"/>
          <w:tab w:val="left" w:pos="3402"/>
          <w:tab w:val="left" w:pos="6912"/>
        </w:tabs>
        <w:suppressAutoHyphens/>
        <w:ind w:right="-283"/>
      </w:pPr>
      <w:r>
        <w:rPr>
          <w:rStyle w:val="Standard"/>
        </w:rPr>
        <w:t>Corps intérieur et corps extérieur reliés verticalement par des profilés en matière plastique et découplés thermiquement</w:t>
      </w:r>
    </w:p>
    <w:p w14:paraId="4CAE03FC" w14:textId="77777777" w:rsidR="00DD203F" w:rsidRPr="002274FE" w:rsidRDefault="00DD203F" w:rsidP="00DD203F">
      <w:pPr>
        <w:numPr>
          <w:ilvl w:val="0"/>
          <w:numId w:val="15"/>
        </w:numPr>
        <w:tabs>
          <w:tab w:val="left" w:pos="-720"/>
          <w:tab w:val="left" w:pos="2835"/>
          <w:tab w:val="left" w:pos="3402"/>
          <w:tab w:val="left" w:pos="6912"/>
        </w:tabs>
        <w:suppressAutoHyphens/>
        <w:ind w:right="-283"/>
      </w:pPr>
      <w:r>
        <w:rPr>
          <w:rStyle w:val="Standard"/>
        </w:rPr>
        <w:t>Intérieur de l'appareil en exécution hygiène H1</w:t>
      </w:r>
    </w:p>
    <w:p w14:paraId="4ADBC086" w14:textId="77777777" w:rsidR="00DD203F" w:rsidRPr="002274FE" w:rsidRDefault="00DD203F" w:rsidP="00DD203F">
      <w:pPr>
        <w:numPr>
          <w:ilvl w:val="0"/>
          <w:numId w:val="15"/>
        </w:numPr>
        <w:tabs>
          <w:tab w:val="left" w:pos="-720"/>
          <w:tab w:val="left" w:pos="2835"/>
          <w:tab w:val="left" w:pos="3402"/>
          <w:tab w:val="left" w:pos="6912"/>
        </w:tabs>
        <w:suppressAutoHyphens/>
        <w:ind w:right="-283"/>
      </w:pPr>
      <w:r>
        <w:rPr>
          <w:rStyle w:val="Standard"/>
        </w:rPr>
        <w:t>Compatible avec l'installation de lavage moyennant une configuration appropriée</w:t>
      </w:r>
    </w:p>
    <w:p w14:paraId="6B75B6AF" w14:textId="77777777" w:rsidR="00DD203F" w:rsidRDefault="00DD203F">
      <w:pPr>
        <w:tabs>
          <w:tab w:val="left" w:pos="2552"/>
          <w:tab w:val="left" w:pos="5670"/>
        </w:tabs>
        <w:ind w:right="-425"/>
      </w:pPr>
    </w:p>
    <w:p w14:paraId="1DEE47E5" w14:textId="77777777" w:rsidR="00DD203F" w:rsidRDefault="00DD203F">
      <w:pPr>
        <w:tabs>
          <w:tab w:val="left" w:pos="2552"/>
          <w:tab w:val="left" w:pos="5670"/>
        </w:tabs>
        <w:ind w:right="-425"/>
      </w:pPr>
    </w:p>
    <w:p w14:paraId="5948DA75" w14:textId="77777777" w:rsidR="00DD203F" w:rsidRDefault="00DD203F">
      <w:pPr>
        <w:pStyle w:val="berschrift5"/>
      </w:pPr>
      <w:r>
        <w:rPr>
          <w:rStyle w:val="berschrift5"/>
        </w:rPr>
        <w:t>Caractéristiques techniques</w:t>
      </w:r>
    </w:p>
    <w:p w14:paraId="5AF1922B" w14:textId="77777777" w:rsidR="00DD203F" w:rsidRDefault="00DD203F">
      <w:pPr>
        <w:tabs>
          <w:tab w:val="left" w:pos="2552"/>
          <w:tab w:val="left" w:pos="5670"/>
        </w:tabs>
        <w:ind w:right="-425"/>
      </w:pPr>
    </w:p>
    <w:p w14:paraId="00816965" w14:textId="77777777" w:rsidR="00DD203F" w:rsidRDefault="00DD203F" w:rsidP="00B76652">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w:t>
      </w:r>
      <w:r>
        <w:rPr>
          <w:rStyle w:val="toa"/>
        </w:rPr>
        <w:tab/>
      </w:r>
      <w:r>
        <w:rPr>
          <w:rStyle w:val="toa"/>
          <w:rFonts w:ascii="Arial" w:hAnsi="Arial"/>
        </w:rPr>
        <w:t>Acier inoxydable, AISI 304</w:t>
      </w:r>
    </w:p>
    <w:p w14:paraId="7FB4FF23" w14:textId="77777777" w:rsidR="00DD203F" w:rsidRPr="00E1185F" w:rsidRDefault="00DD203F" w:rsidP="00B76652">
      <w:pPr>
        <w:tabs>
          <w:tab w:val="left" w:pos="2835"/>
          <w:tab w:val="left" w:pos="5670"/>
        </w:tabs>
        <w:ind w:left="2835" w:right="-425" w:hanging="2835"/>
      </w:pPr>
      <w:r>
        <w:rPr>
          <w:rStyle w:val="Standard"/>
        </w:rPr>
        <w:tab/>
        <w:t>Polyéthylène (PE)</w:t>
      </w:r>
    </w:p>
    <w:p w14:paraId="5DACCB70" w14:textId="77777777" w:rsidR="00DD203F" w:rsidRDefault="00DD203F" w:rsidP="00B76652">
      <w:pPr>
        <w:tabs>
          <w:tab w:val="left" w:pos="2835"/>
          <w:tab w:val="left" w:pos="5670"/>
        </w:tabs>
        <w:ind w:left="2835" w:right="-425" w:hanging="2835"/>
      </w:pPr>
      <w:r>
        <w:rPr>
          <w:rStyle w:val="Standard"/>
        </w:rPr>
        <w:t>Matériau d'isolation</w:t>
      </w:r>
    </w:p>
    <w:p w14:paraId="49057874" w14:textId="77777777" w:rsidR="00DD203F" w:rsidRPr="00E1185F" w:rsidRDefault="005627C1" w:rsidP="005627C1">
      <w:pPr>
        <w:tabs>
          <w:tab w:val="left" w:pos="2835"/>
          <w:tab w:val="left" w:pos="5670"/>
        </w:tabs>
        <w:ind w:left="2835" w:right="-425" w:hanging="2835"/>
      </w:pPr>
      <w:r>
        <w:rPr>
          <w:rStyle w:val="Standard"/>
        </w:rPr>
        <w:t>p</w:t>
      </w:r>
      <w:r w:rsidR="00DD203F">
        <w:rPr>
          <w:rStyle w:val="Standard"/>
        </w:rPr>
        <w:t>ortes et parois:</w:t>
      </w:r>
      <w:r w:rsidR="00DD203F">
        <w:rPr>
          <w:rStyle w:val="Standard"/>
        </w:rPr>
        <w:tab/>
      </w:r>
      <w:r w:rsidR="00CB7AC0">
        <w:rPr>
          <w:rStyle w:val="Standard"/>
        </w:rPr>
        <w:t>P</w:t>
      </w:r>
      <w:r w:rsidR="00DD203F">
        <w:rPr>
          <w:rStyle w:val="Standard"/>
        </w:rPr>
        <w:t>laques de mousse de polystyrène rigide (30 mm)</w:t>
      </w:r>
    </w:p>
    <w:p w14:paraId="71EAE223" w14:textId="77777777" w:rsidR="00DD203F" w:rsidRDefault="00DD203F" w:rsidP="00B76652">
      <w:pPr>
        <w:tabs>
          <w:tab w:val="left" w:pos="2835"/>
          <w:tab w:val="left" w:pos="5670"/>
        </w:tabs>
        <w:ind w:left="2835" w:right="-425" w:hanging="2835"/>
      </w:pPr>
      <w:r>
        <w:rPr>
          <w:rStyle w:val="Standard"/>
        </w:rPr>
        <w:t>Poids:</w:t>
      </w:r>
      <w:r>
        <w:rPr>
          <w:rStyle w:val="Standard"/>
        </w:rPr>
        <w:tab/>
        <w:t>env. 180 kg</w:t>
      </w:r>
    </w:p>
    <w:p w14:paraId="5AF25D69" w14:textId="77777777" w:rsidR="00DD203F" w:rsidRDefault="00DD203F" w:rsidP="00B76652">
      <w:pPr>
        <w:tabs>
          <w:tab w:val="left" w:pos="2835"/>
          <w:tab w:val="left" w:pos="5670"/>
        </w:tabs>
        <w:ind w:left="2835" w:right="-425" w:hanging="2835"/>
      </w:pPr>
      <w:r>
        <w:rPr>
          <w:rStyle w:val="Standard"/>
        </w:rPr>
        <w:t>Capacité:</w:t>
      </w:r>
      <w:r>
        <w:rPr>
          <w:rStyle w:val="Standard"/>
        </w:rPr>
        <w:tab/>
        <w:t>40 plateaux EURONORM (530x370mm) ou Gastronorm (530x325mm)</w:t>
      </w:r>
    </w:p>
    <w:p w14:paraId="1EF6795C" w14:textId="77777777" w:rsidR="00DD203F" w:rsidRDefault="00DD203F" w:rsidP="00B76652">
      <w:pPr>
        <w:tabs>
          <w:tab w:val="left" w:pos="2835"/>
          <w:tab w:val="left" w:pos="5670"/>
        </w:tabs>
        <w:ind w:left="2835" w:right="-425" w:hanging="2835"/>
      </w:pPr>
      <w:r>
        <w:rPr>
          <w:rStyle w:val="Standard"/>
        </w:rPr>
        <w:t>Type de glissières:</w:t>
      </w:r>
      <w:r>
        <w:rPr>
          <w:rStyle w:val="Standard"/>
        </w:rPr>
        <w:tab/>
      </w:r>
      <w:r w:rsidR="00B76652">
        <w:rPr>
          <w:rStyle w:val="Standard"/>
        </w:rPr>
        <w:t>I</w:t>
      </w:r>
      <w:r>
        <w:rPr>
          <w:rStyle w:val="Standard"/>
        </w:rPr>
        <w:t>nsertion transversale</w:t>
      </w:r>
    </w:p>
    <w:p w14:paraId="709A8DB2" w14:textId="77777777" w:rsidR="00DD203F" w:rsidRDefault="00DD203F" w:rsidP="00B76652">
      <w:pPr>
        <w:tabs>
          <w:tab w:val="left" w:pos="2835"/>
          <w:tab w:val="left" w:pos="5670"/>
        </w:tabs>
        <w:ind w:left="2835" w:right="-425" w:hanging="2835"/>
      </w:pPr>
      <w:r>
        <w:rPr>
          <w:rStyle w:val="Standard"/>
        </w:rPr>
        <w:t xml:space="preserve">Ecartement des </w:t>
      </w:r>
    </w:p>
    <w:p w14:paraId="743AC63E" w14:textId="77777777" w:rsidR="00DD203F" w:rsidRDefault="00DD203F" w:rsidP="00B76652">
      <w:pPr>
        <w:tabs>
          <w:tab w:val="left" w:pos="2835"/>
          <w:tab w:val="left" w:pos="5670"/>
        </w:tabs>
        <w:ind w:left="2835" w:right="-425" w:hanging="2835"/>
      </w:pPr>
      <w:r>
        <w:rPr>
          <w:rStyle w:val="Standard"/>
        </w:rPr>
        <w:lastRenderedPageBreak/>
        <w:t>glissières:</w:t>
      </w:r>
      <w:r>
        <w:rPr>
          <w:rStyle w:val="Standard"/>
        </w:rPr>
        <w:tab/>
        <w:t>115 mm</w:t>
      </w:r>
    </w:p>
    <w:p w14:paraId="0DD43DF9" w14:textId="77777777" w:rsidR="00DD203F" w:rsidRDefault="00DD203F" w:rsidP="00B76652">
      <w:pPr>
        <w:tabs>
          <w:tab w:val="left" w:pos="2835"/>
          <w:tab w:val="left" w:pos="5670"/>
        </w:tabs>
        <w:ind w:left="2835" w:right="-425" w:hanging="2835"/>
      </w:pPr>
      <w:r>
        <w:rPr>
          <w:rStyle w:val="Standard"/>
        </w:rPr>
        <w:t xml:space="preserve">Espacement </w:t>
      </w:r>
    </w:p>
    <w:p w14:paraId="225A4044" w14:textId="77777777" w:rsidR="00B76652" w:rsidRDefault="00DD203F" w:rsidP="00B76652">
      <w:pPr>
        <w:tabs>
          <w:tab w:val="left" w:pos="2835"/>
          <w:tab w:val="left" w:pos="5670"/>
        </w:tabs>
        <w:ind w:left="2835" w:right="-425" w:hanging="2835"/>
        <w:rPr>
          <w:rStyle w:val="Standard"/>
        </w:rPr>
      </w:pPr>
      <w:r>
        <w:rPr>
          <w:rStyle w:val="Standard"/>
        </w:rPr>
        <w:t>sécurité antibasculement</w:t>
      </w:r>
      <w:r w:rsidR="00B76652">
        <w:rPr>
          <w:rStyle w:val="Standard"/>
        </w:rPr>
        <w:t>/</w:t>
      </w:r>
    </w:p>
    <w:p w14:paraId="7B603D20" w14:textId="77777777" w:rsidR="00DD203F" w:rsidRDefault="00DD203F" w:rsidP="00B76652">
      <w:pPr>
        <w:tabs>
          <w:tab w:val="left" w:pos="2835"/>
          <w:tab w:val="left" w:pos="5670"/>
        </w:tabs>
        <w:ind w:left="2835" w:right="-425" w:hanging="2835"/>
      </w:pPr>
      <w:r>
        <w:rPr>
          <w:rStyle w:val="Standard"/>
        </w:rPr>
        <w:t>glissières:</w:t>
      </w:r>
      <w:r>
        <w:rPr>
          <w:rStyle w:val="Standard"/>
        </w:rPr>
        <w:tab/>
        <w:t>7 mm</w:t>
      </w:r>
    </w:p>
    <w:p w14:paraId="3615FF51" w14:textId="77777777" w:rsidR="00B76652" w:rsidRDefault="00DD203F" w:rsidP="00B76652">
      <w:pPr>
        <w:tabs>
          <w:tab w:val="left" w:pos="2835"/>
          <w:tab w:val="left" w:pos="5670"/>
        </w:tabs>
        <w:ind w:left="2835" w:right="-425" w:hanging="2835"/>
        <w:rPr>
          <w:rStyle w:val="Standard"/>
        </w:rPr>
      </w:pPr>
      <w:r>
        <w:rPr>
          <w:rStyle w:val="Standard"/>
        </w:rPr>
        <w:t>Nombre de</w:t>
      </w:r>
    </w:p>
    <w:p w14:paraId="04F0A8A9" w14:textId="77777777" w:rsidR="00DD203F" w:rsidRPr="002274FE" w:rsidRDefault="00DD203F" w:rsidP="00B76652">
      <w:pPr>
        <w:tabs>
          <w:tab w:val="left" w:pos="2835"/>
          <w:tab w:val="left" w:pos="5670"/>
        </w:tabs>
        <w:ind w:left="2835" w:right="-425" w:hanging="2835"/>
      </w:pPr>
      <w:r>
        <w:rPr>
          <w:rStyle w:val="Standard"/>
        </w:rPr>
        <w:t>compartiments d'armoire:</w:t>
      </w:r>
      <w:r>
        <w:rPr>
          <w:rStyle w:val="Standard"/>
        </w:rPr>
        <w:tab/>
        <w:t>2</w:t>
      </w:r>
    </w:p>
    <w:p w14:paraId="1F8313E5" w14:textId="77777777" w:rsidR="00B76652" w:rsidRDefault="00DD203F" w:rsidP="00B76652">
      <w:pPr>
        <w:tabs>
          <w:tab w:val="left" w:pos="2835"/>
          <w:tab w:val="left" w:pos="5670"/>
        </w:tabs>
        <w:ind w:left="2835" w:right="-425" w:hanging="2835"/>
        <w:rPr>
          <w:rStyle w:val="Standard"/>
        </w:rPr>
      </w:pPr>
      <w:r>
        <w:rPr>
          <w:rStyle w:val="Standard"/>
        </w:rPr>
        <w:t>Nombre de</w:t>
      </w:r>
    </w:p>
    <w:p w14:paraId="029EEA06" w14:textId="77777777" w:rsidR="00DD203F" w:rsidRPr="002274FE" w:rsidRDefault="00DD203F" w:rsidP="00B76652">
      <w:pPr>
        <w:tabs>
          <w:tab w:val="left" w:pos="2835"/>
          <w:tab w:val="left" w:pos="5670"/>
        </w:tabs>
        <w:ind w:left="2835" w:right="-425" w:hanging="2835"/>
      </w:pPr>
      <w:r>
        <w:rPr>
          <w:rStyle w:val="Standard"/>
        </w:rPr>
        <w:t>portes battantes:</w:t>
      </w:r>
      <w:r>
        <w:rPr>
          <w:rStyle w:val="Standard"/>
        </w:rPr>
        <w:tab/>
        <w:t>2</w:t>
      </w:r>
    </w:p>
    <w:p w14:paraId="258493A4" w14:textId="77777777" w:rsidR="00B76652" w:rsidRDefault="00DD203F" w:rsidP="00B76652">
      <w:pPr>
        <w:tabs>
          <w:tab w:val="left" w:pos="2835"/>
          <w:tab w:val="left" w:pos="5670"/>
        </w:tabs>
        <w:ind w:left="2835" w:right="-425" w:hanging="2835"/>
        <w:rPr>
          <w:rStyle w:val="Standard"/>
        </w:rPr>
      </w:pPr>
      <w:r>
        <w:rPr>
          <w:rStyle w:val="Standard"/>
        </w:rPr>
        <w:t>Exécution de</w:t>
      </w:r>
    </w:p>
    <w:p w14:paraId="6A20BB8B" w14:textId="77777777" w:rsidR="00DD203F" w:rsidRPr="002274FE" w:rsidRDefault="00DD203F" w:rsidP="00B76652">
      <w:pPr>
        <w:tabs>
          <w:tab w:val="left" w:pos="2835"/>
          <w:tab w:val="left" w:pos="5670"/>
        </w:tabs>
        <w:ind w:left="2835" w:right="-425" w:hanging="2835"/>
      </w:pPr>
      <w:r>
        <w:rPr>
          <w:rStyle w:val="Standard"/>
        </w:rPr>
        <w:t>l'espace intérieur:</w:t>
      </w:r>
      <w:r>
        <w:rPr>
          <w:rStyle w:val="Standard"/>
        </w:rPr>
        <w:tab/>
        <w:t>Exécution hygiène H1 suiv. DIN 18865-9</w:t>
      </w:r>
    </w:p>
    <w:p w14:paraId="04C7A07C" w14:textId="77777777" w:rsidR="00DD203F" w:rsidRDefault="00DD203F">
      <w:pPr>
        <w:pStyle w:val="Textkrper"/>
        <w:ind w:right="-425"/>
        <w:jc w:val="left"/>
      </w:pPr>
    </w:p>
    <w:p w14:paraId="7964787B" w14:textId="77777777" w:rsidR="00DD203F" w:rsidRDefault="00DD203F">
      <w:pPr>
        <w:pStyle w:val="Textkrper"/>
        <w:ind w:right="-425"/>
        <w:jc w:val="left"/>
        <w:rPr>
          <w:b/>
          <w:color w:val="000000"/>
        </w:rPr>
      </w:pPr>
      <w:r>
        <w:rPr>
          <w:rStyle w:val="Textkrper"/>
          <w:b/>
          <w:color w:val="000000"/>
        </w:rPr>
        <w:t>Accessoires / options</w:t>
      </w:r>
    </w:p>
    <w:p w14:paraId="1E6EF2CF" w14:textId="77777777" w:rsidR="00DD203F" w:rsidRDefault="00DD203F"/>
    <w:p w14:paraId="2165A6E0" w14:textId="77777777" w:rsidR="00DD203F" w:rsidRPr="002274FE" w:rsidRDefault="00DD203F">
      <w:pPr>
        <w:numPr>
          <w:ilvl w:val="0"/>
          <w:numId w:val="22"/>
        </w:numPr>
      </w:pPr>
      <w:r>
        <w:rPr>
          <w:rStyle w:val="Standard"/>
        </w:rPr>
        <w:t>Exécution sans sécurité antibasculement pour l'utilisation de plateaux compacts</w:t>
      </w:r>
      <w:r w:rsidR="00A509CE">
        <w:t xml:space="preserve"> (largeur glissières: 14 mm)</w:t>
      </w:r>
    </w:p>
    <w:p w14:paraId="53BF9147" w14:textId="77777777" w:rsidR="00DD203F" w:rsidRPr="002274FE" w:rsidRDefault="00DD203F">
      <w:pPr>
        <w:numPr>
          <w:ilvl w:val="0"/>
          <w:numId w:val="22"/>
        </w:numPr>
      </w:pPr>
      <w:r>
        <w:rPr>
          <w:rStyle w:val="Standard"/>
        </w:rPr>
        <w:t>Espacement des glissières 105 mm</w:t>
      </w:r>
    </w:p>
    <w:p w14:paraId="77352994" w14:textId="77777777" w:rsidR="00DD203F" w:rsidRPr="002274FE" w:rsidRDefault="00DD203F">
      <w:pPr>
        <w:numPr>
          <w:ilvl w:val="0"/>
          <w:numId w:val="22"/>
        </w:numPr>
      </w:pPr>
      <w:r>
        <w:rPr>
          <w:rStyle w:val="Standard"/>
        </w:rPr>
        <w:t>Verrouillage 2 points</w:t>
      </w:r>
    </w:p>
    <w:p w14:paraId="4D891C55" w14:textId="77777777" w:rsidR="00DD203F" w:rsidRPr="002274FE" w:rsidRDefault="00DD203F" w:rsidP="00DD203F">
      <w:pPr>
        <w:numPr>
          <w:ilvl w:val="0"/>
          <w:numId w:val="22"/>
        </w:numPr>
        <w:ind w:right="-283"/>
      </w:pPr>
      <w:r>
        <w:rPr>
          <w:rStyle w:val="Standard"/>
        </w:rPr>
        <w:t>Poignées de poussée comme tubes coudés complètement en acier inoxydable</w:t>
      </w:r>
    </w:p>
    <w:p w14:paraId="2010D59A" w14:textId="77777777" w:rsidR="00DD203F" w:rsidRPr="002274FE" w:rsidRDefault="00DD203F">
      <w:pPr>
        <w:numPr>
          <w:ilvl w:val="0"/>
          <w:numId w:val="22"/>
        </w:numPr>
      </w:pPr>
      <w:r>
        <w:rPr>
          <w:rStyle w:val="Standard"/>
        </w:rPr>
        <w:t>Protection supplémentaire contre les chocs sur le toit</w:t>
      </w:r>
    </w:p>
    <w:p w14:paraId="40DF3DED" w14:textId="77777777" w:rsidR="00DD203F" w:rsidRPr="002274FE" w:rsidRDefault="00DD203F" w:rsidP="00DD203F">
      <w:pPr>
        <w:numPr>
          <w:ilvl w:val="0"/>
          <w:numId w:val="22"/>
        </w:numPr>
        <w:ind w:right="-283"/>
      </w:pPr>
      <w:r>
        <w:rPr>
          <w:rStyle w:val="Standard"/>
        </w:rPr>
        <w:t>Galerie périphérique, soudée en onglet</w:t>
      </w:r>
    </w:p>
    <w:p w14:paraId="4F5783CA" w14:textId="77777777" w:rsidR="00DD203F" w:rsidRPr="002274FE" w:rsidRDefault="00DD203F">
      <w:pPr>
        <w:numPr>
          <w:ilvl w:val="0"/>
          <w:numId w:val="22"/>
        </w:numPr>
      </w:pPr>
      <w:r>
        <w:rPr>
          <w:rStyle w:val="Standard"/>
        </w:rPr>
        <w:t>Timon et accouplement</w:t>
      </w:r>
    </w:p>
    <w:p w14:paraId="6B67BC4A" w14:textId="77777777" w:rsidR="00DD203F" w:rsidRPr="002274FE" w:rsidRDefault="00DD203F">
      <w:pPr>
        <w:numPr>
          <w:ilvl w:val="0"/>
          <w:numId w:val="22"/>
        </w:numPr>
      </w:pPr>
      <w:r>
        <w:rPr>
          <w:rStyle w:val="Standard"/>
        </w:rPr>
        <w:t>Sécurité de transport supplémentaire des portes</w:t>
      </w:r>
    </w:p>
    <w:p w14:paraId="05AF4FE8" w14:textId="77777777" w:rsidR="00DD203F" w:rsidRPr="002274FE" w:rsidRDefault="00DD203F">
      <w:pPr>
        <w:numPr>
          <w:ilvl w:val="0"/>
          <w:numId w:val="18"/>
        </w:numPr>
        <w:ind w:right="-283"/>
      </w:pPr>
      <w:r>
        <w:rPr>
          <w:rStyle w:val="Standard"/>
        </w:rPr>
        <w:t>Bande antistatique</w:t>
      </w:r>
    </w:p>
    <w:p w14:paraId="319935D9" w14:textId="77777777" w:rsidR="00DD203F" w:rsidRPr="002274FE" w:rsidRDefault="00DD203F" w:rsidP="00DD203F">
      <w:pPr>
        <w:numPr>
          <w:ilvl w:val="0"/>
          <w:numId w:val="18"/>
        </w:numPr>
        <w:ind w:right="-283"/>
      </w:pPr>
      <w:r>
        <w:rPr>
          <w:rStyle w:val="Standard"/>
        </w:rPr>
        <w:t>Diamètre des roues 200 mm</w:t>
      </w:r>
    </w:p>
    <w:p w14:paraId="5DB39302" w14:textId="77777777" w:rsidR="00DD203F" w:rsidRPr="002274FE" w:rsidRDefault="00DD203F">
      <w:pPr>
        <w:numPr>
          <w:ilvl w:val="0"/>
          <w:numId w:val="18"/>
        </w:numPr>
        <w:ind w:right="-283"/>
      </w:pPr>
      <w:r>
        <w:rPr>
          <w:rStyle w:val="Standard"/>
        </w:rPr>
        <w:t>Roues acier inoxydable avec bandages creux</w:t>
      </w:r>
    </w:p>
    <w:p w14:paraId="4D1B9103" w14:textId="77777777" w:rsidR="00DD203F" w:rsidRPr="002274FE" w:rsidRDefault="00DD203F">
      <w:pPr>
        <w:numPr>
          <w:ilvl w:val="0"/>
          <w:numId w:val="18"/>
        </w:numPr>
        <w:ind w:right="-283"/>
      </w:pPr>
      <w:r>
        <w:rPr>
          <w:rStyle w:val="Standard"/>
        </w:rPr>
        <w:t>Disposition des roues D avec frein central</w:t>
      </w:r>
    </w:p>
    <w:p w14:paraId="3596FF66" w14:textId="77777777" w:rsidR="00DD203F" w:rsidRPr="002274FE" w:rsidRDefault="00DD203F">
      <w:pPr>
        <w:numPr>
          <w:ilvl w:val="0"/>
          <w:numId w:val="18"/>
        </w:numPr>
        <w:ind w:right="-283"/>
      </w:pPr>
      <w:r>
        <w:rPr>
          <w:rStyle w:val="Standard"/>
        </w:rPr>
        <w:t>Roues en acier inoxydable, compatibles avec l'installation de lavage</w:t>
      </w:r>
    </w:p>
    <w:p w14:paraId="7CD0C7B0" w14:textId="77777777" w:rsidR="00DD203F" w:rsidRPr="002274FE" w:rsidRDefault="00DD203F">
      <w:pPr>
        <w:tabs>
          <w:tab w:val="left" w:pos="2552"/>
          <w:tab w:val="left" w:pos="5670"/>
        </w:tabs>
        <w:ind w:right="-425"/>
      </w:pPr>
    </w:p>
    <w:p w14:paraId="7089B0C2" w14:textId="77777777" w:rsidR="00DD203F" w:rsidRPr="002274FE" w:rsidRDefault="00DD203F">
      <w:pPr>
        <w:tabs>
          <w:tab w:val="left" w:pos="2552"/>
          <w:tab w:val="left" w:pos="5670"/>
        </w:tabs>
        <w:ind w:right="-425"/>
      </w:pPr>
    </w:p>
    <w:p w14:paraId="6D4EEC33" w14:textId="77777777" w:rsidR="00DD203F" w:rsidRDefault="00DD203F">
      <w:pPr>
        <w:tabs>
          <w:tab w:val="left" w:pos="2552"/>
          <w:tab w:val="left" w:pos="5670"/>
        </w:tabs>
        <w:ind w:right="-425"/>
      </w:pPr>
    </w:p>
    <w:p w14:paraId="07C845C2" w14:textId="77777777" w:rsidR="00DD203F" w:rsidRDefault="00DD203F">
      <w:pPr>
        <w:tabs>
          <w:tab w:val="left" w:pos="2552"/>
          <w:tab w:val="left" w:pos="5670"/>
        </w:tabs>
        <w:ind w:right="-425"/>
      </w:pPr>
    </w:p>
    <w:p w14:paraId="2928E63D" w14:textId="77777777" w:rsidR="00DD203F" w:rsidRDefault="00DD203F">
      <w:pPr>
        <w:tabs>
          <w:tab w:val="left" w:pos="2552"/>
          <w:tab w:val="left" w:pos="5670"/>
        </w:tabs>
        <w:ind w:left="2550" w:right="-425" w:hanging="2550"/>
        <w:rPr>
          <w:b/>
        </w:rPr>
      </w:pPr>
      <w:r>
        <w:rPr>
          <w:rStyle w:val="Standard"/>
          <w:b/>
        </w:rPr>
        <w:t>Marque:</w:t>
      </w:r>
    </w:p>
    <w:p w14:paraId="211585EF" w14:textId="77777777" w:rsidR="00DD203F" w:rsidRPr="002274FE" w:rsidRDefault="00DD203F">
      <w:pPr>
        <w:tabs>
          <w:tab w:val="left" w:pos="2552"/>
          <w:tab w:val="left" w:pos="5670"/>
        </w:tabs>
        <w:ind w:left="2550" w:right="-425" w:hanging="2550"/>
      </w:pPr>
    </w:p>
    <w:p w14:paraId="51BFD825" w14:textId="77777777" w:rsidR="00DD203F" w:rsidRPr="002274FE" w:rsidRDefault="00DD203F">
      <w:pPr>
        <w:tabs>
          <w:tab w:val="left" w:pos="2552"/>
          <w:tab w:val="left" w:pos="5670"/>
        </w:tabs>
        <w:ind w:left="2550" w:right="-425" w:hanging="2550"/>
      </w:pPr>
      <w:r>
        <w:rPr>
          <w:rStyle w:val="Standard"/>
        </w:rPr>
        <w:t>Fabricant:</w:t>
      </w:r>
      <w:r>
        <w:rPr>
          <w:rStyle w:val="Standard"/>
        </w:rPr>
        <w:tab/>
      </w:r>
      <w:r w:rsidR="004F1196" w:rsidRPr="004F1196">
        <w:t>B.PRO</w:t>
      </w:r>
    </w:p>
    <w:p w14:paraId="47D3F7BB" w14:textId="77777777" w:rsidR="00DD203F" w:rsidRPr="002274FE" w:rsidRDefault="00DD203F">
      <w:pPr>
        <w:tabs>
          <w:tab w:val="left" w:pos="2552"/>
          <w:tab w:val="left" w:pos="5670"/>
        </w:tabs>
        <w:ind w:left="2550" w:right="-425" w:hanging="2550"/>
      </w:pPr>
      <w:r>
        <w:rPr>
          <w:rStyle w:val="Standard"/>
        </w:rPr>
        <w:t>Type:</w:t>
      </w:r>
      <w:r>
        <w:rPr>
          <w:rStyle w:val="Standard"/>
        </w:rPr>
        <w:tab/>
        <w:t>TTW 40 U H1</w:t>
      </w:r>
    </w:p>
    <w:p w14:paraId="29D3972E" w14:textId="77777777" w:rsidR="00DD203F" w:rsidRPr="002274FE" w:rsidRDefault="00DD203F">
      <w:pPr>
        <w:tabs>
          <w:tab w:val="left" w:pos="2552"/>
          <w:tab w:val="left" w:pos="5670"/>
        </w:tabs>
        <w:ind w:left="2550" w:right="-425" w:hanging="2550"/>
      </w:pPr>
      <w:r>
        <w:rPr>
          <w:rStyle w:val="Standard"/>
        </w:rPr>
        <w:t>Référence:</w:t>
      </w:r>
      <w:r>
        <w:rPr>
          <w:rStyle w:val="Standard"/>
        </w:rPr>
        <w:tab/>
        <w:t>376415</w:t>
      </w:r>
    </w:p>
    <w:sectPr w:rsidR="00DD203F" w:rsidRPr="002274FE">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1ACC" w14:textId="77777777" w:rsidR="007312B2" w:rsidRDefault="007312B2">
      <w:r>
        <w:separator/>
      </w:r>
    </w:p>
  </w:endnote>
  <w:endnote w:type="continuationSeparator" w:id="0">
    <w:p w14:paraId="1B244D15" w14:textId="77777777" w:rsidR="007312B2" w:rsidRDefault="0073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C0F1" w14:textId="77777777" w:rsidR="00DD203F" w:rsidRDefault="00DD203F">
    <w:pPr>
      <w:pStyle w:val="Fuzeile"/>
      <w:rPr>
        <w:sz w:val="16"/>
      </w:rPr>
    </w:pPr>
    <w:r>
      <w:rPr>
        <w:rStyle w:val="Fuzeile"/>
        <w:sz w:val="16"/>
      </w:rPr>
      <w:t xml:space="preserve">Texte de cahier de charges TTW 40 U H1/ Version </w:t>
    </w:r>
    <w:r w:rsidR="00A509CE">
      <w:rPr>
        <w:rStyle w:val="Fuzeile"/>
        <w:sz w:val="16"/>
      </w:rPr>
      <w:t>2</w:t>
    </w:r>
    <w:r>
      <w:rPr>
        <w:rStyle w:val="Fuzeile"/>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75CF" w14:textId="77777777" w:rsidR="007312B2" w:rsidRDefault="007312B2">
      <w:r>
        <w:separator/>
      </w:r>
    </w:p>
  </w:footnote>
  <w:footnote w:type="continuationSeparator" w:id="0">
    <w:p w14:paraId="331CE7BC" w14:textId="77777777" w:rsidR="007312B2" w:rsidRDefault="00731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B1F86"/>
    <w:rsid w:val="001E2EBC"/>
    <w:rsid w:val="00311DA7"/>
    <w:rsid w:val="004F1196"/>
    <w:rsid w:val="00546727"/>
    <w:rsid w:val="005627C1"/>
    <w:rsid w:val="007312B2"/>
    <w:rsid w:val="00774A90"/>
    <w:rsid w:val="00A509CE"/>
    <w:rsid w:val="00B21B90"/>
    <w:rsid w:val="00B76652"/>
    <w:rsid w:val="00BD1F04"/>
    <w:rsid w:val="00CB7AC0"/>
    <w:rsid w:val="00DD2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F72E1E"/>
  <w15:chartTrackingRefBased/>
  <w15:docId w15:val="{B616141D-5B99-403F-9D0E-BE40F30D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3846</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2021-09-25T18:37:00Z</dcterms:created>
  <dcterms:modified xsi:type="dcterms:W3CDTF">2021-09-25T18:37:00Z</dcterms:modified>
</cp:coreProperties>
</file>